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2D3F4">
      <w:pPr>
        <w:jc w:val="center"/>
        <w:rPr>
          <w:rFonts w:ascii="方正小标宋简体" w:eastAsia="方正小标宋简体" w:cs="黑体" w:hAnsiTheme="majorEastAsia"/>
          <w:bCs/>
          <w:color w:val="000000" w:themeColor="text1"/>
          <w:sz w:val="44"/>
          <w:szCs w:val="44"/>
          <w14:textFill>
            <w14:solidFill>
              <w14:schemeClr w14:val="tx1"/>
            </w14:solidFill>
          </w14:textFill>
        </w:rPr>
      </w:pPr>
      <w:r>
        <w:rPr>
          <w:rFonts w:hint="eastAsia" w:ascii="方正小标宋简体" w:eastAsia="方正小标宋简体" w:cs="黑体" w:hAnsiTheme="majorEastAsia"/>
          <w:bCs/>
          <w:color w:val="000000" w:themeColor="text1"/>
          <w:sz w:val="44"/>
          <w:szCs w:val="44"/>
          <w14:textFill>
            <w14:solidFill>
              <w14:schemeClr w14:val="tx1"/>
            </w14:solidFill>
          </w14:textFill>
        </w:rPr>
        <w:t>中央民族大学国际教育学院</w:t>
      </w:r>
    </w:p>
    <w:p w14:paraId="063B9A1C">
      <w:pPr>
        <w:jc w:val="center"/>
        <w:rPr>
          <w:rFonts w:ascii="方正小标宋简体" w:eastAsia="方正小标宋简体" w:cs="黑体" w:hAnsiTheme="majorEastAsia"/>
          <w:bCs/>
          <w:color w:val="000000" w:themeColor="text1"/>
          <w:sz w:val="44"/>
          <w:szCs w:val="44"/>
          <w14:textFill>
            <w14:solidFill>
              <w14:schemeClr w14:val="tx1"/>
            </w14:solidFill>
          </w14:textFill>
        </w:rPr>
      </w:pPr>
      <w:r>
        <w:rPr>
          <w:rFonts w:hint="eastAsia" w:ascii="方正小标宋简体" w:eastAsia="方正小标宋简体" w:cs="黑体" w:hAnsiTheme="majorEastAsia"/>
          <w:bCs/>
          <w:color w:val="000000" w:themeColor="text1"/>
          <w:sz w:val="44"/>
          <w:szCs w:val="44"/>
          <w14:textFill>
            <w14:solidFill>
              <w14:schemeClr w14:val="tx1"/>
            </w14:solidFill>
          </w14:textFill>
        </w:rPr>
        <w:t>2025年国际中文教育专业硕士招生简章</w:t>
      </w:r>
    </w:p>
    <w:p w14:paraId="5A09E3DC">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p>
    <w:p w14:paraId="24959BA8">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一、培养目标</w:t>
      </w:r>
    </w:p>
    <w:p w14:paraId="139417A7">
      <w:pPr>
        <w:tabs>
          <w:tab w:val="left" w:pos="8400"/>
        </w:tabs>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本专业主要培养具有扎实的专业知识、熟练的教学技能、良好的跨文化交际和文化传播能力、较好的学术研究素养，具有开阔的国际视野，能够胜任国际中文教育及相关领域工作的高层次、复合型、国际化、应用型专门人才，重点培养在英语国家长期任教的“双语双文化”中文师资。</w:t>
      </w:r>
    </w:p>
    <w:p w14:paraId="29B304F2">
      <w:pPr>
        <w:tabs>
          <w:tab w:val="left" w:pos="8400"/>
        </w:tabs>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具体要求为：</w:t>
      </w:r>
    </w:p>
    <w:p w14:paraId="28F34F18">
      <w:pPr>
        <w:tabs>
          <w:tab w:val="left" w:pos="8400"/>
        </w:tabs>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（一）掌握马克思主义基本理论，具备良好的思想道德品质和职业素养。</w:t>
      </w:r>
    </w:p>
    <w:p w14:paraId="31C8168A">
      <w:pPr>
        <w:tabs>
          <w:tab w:val="left" w:pos="8400"/>
        </w:tabs>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（二）热爱国际中文教育事业，具有奉献精神和开拓意识。</w:t>
      </w:r>
    </w:p>
    <w:p w14:paraId="1D571FAE">
      <w:pPr>
        <w:tabs>
          <w:tab w:val="left" w:pos="8400"/>
        </w:tabs>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（三）具备扎实的汉语本体和教学知识、熟练的汉语教学能力，能熟练运用现代教育技术和科技手段进行线下和线上教学。</w:t>
      </w:r>
    </w:p>
    <w:p w14:paraId="1B616084">
      <w:pPr>
        <w:tabs>
          <w:tab w:val="left" w:pos="8400"/>
        </w:tabs>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（四）具有较高的中华文化素养和中华文化传播能力，能较好地进行文化传播项目的策划与管理。</w:t>
      </w:r>
    </w:p>
    <w:p w14:paraId="79999055">
      <w:pPr>
        <w:tabs>
          <w:tab w:val="left" w:pos="8400"/>
        </w:tabs>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（五）具有良好的跨文化交际能力，能够流利地使用英语进行教学和交流。</w:t>
      </w:r>
    </w:p>
    <w:p w14:paraId="4EA4B938">
      <w:pPr>
        <w:tabs>
          <w:tab w:val="left" w:pos="1980"/>
          <w:tab w:val="left" w:pos="2160"/>
        </w:tabs>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（六）具备较好的科研素养，能够开展学术研究。</w:t>
      </w:r>
    </w:p>
    <w:p w14:paraId="60D6C693">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二、报考条件</w:t>
      </w:r>
    </w:p>
    <w:p w14:paraId="1734ED48">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根据教育部有关通知要求执行。</w:t>
      </w:r>
    </w:p>
    <w:p w14:paraId="4E36E693">
      <w:pPr>
        <w:pStyle w:val="4"/>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注：</w:t>
      </w:r>
    </w:p>
    <w:p w14:paraId="7DAAFA57">
      <w:pPr>
        <w:pStyle w:val="4"/>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lang w:val="en-US" w:eastAsia="zh-CN"/>
          <w14:textFill>
            <w14:solidFill>
              <w14:schemeClr w14:val="tx1"/>
            </w14:solidFill>
          </w14:textFill>
        </w:rPr>
        <w:t>一</w:t>
      </w: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本专业不招收同等学力考生。2025年入学前应能获得本科毕业证书和学士学位。</w:t>
      </w:r>
    </w:p>
    <w:p w14:paraId="6D181359">
      <w:pPr>
        <w:pStyle w:val="4"/>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lang w:val="en-US" w:eastAsia="zh-CN"/>
          <w14:textFill>
            <w14:solidFill>
              <w14:schemeClr w14:val="tx1"/>
            </w14:solidFill>
          </w14:textFill>
        </w:rPr>
        <w:t>二</w:t>
      </w: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考生本科专业原则上应为汉语国际教育、英语</w:t>
      </w:r>
      <w:r>
        <w:rPr>
          <w:rFonts w:hint="eastAsia" w:ascii="仿宋" w:hAnsi="仿宋" w:eastAsia="仿宋" w:cs="华文楷体"/>
          <w:color w:val="000000" w:themeColor="text1"/>
          <w:sz w:val="32"/>
          <w:szCs w:val="32"/>
          <w:lang w:eastAsia="zh-Hans"/>
          <w14:textFill>
            <w14:solidFill>
              <w14:schemeClr w14:val="tx1"/>
            </w14:solidFill>
          </w14:textFill>
        </w:rPr>
        <w:t>或其他小语种</w:t>
      </w:r>
      <w:r>
        <w:rPr>
          <w:rFonts w:hint="eastAsia" w:ascii="仿宋" w:hAnsi="仿宋" w:eastAsia="仿宋" w:cs="华文楷体"/>
          <w:color w:val="000000" w:themeColor="text1"/>
          <w:sz w:val="32"/>
          <w:szCs w:val="32"/>
          <w14:textFill>
            <w14:solidFill>
              <w14:schemeClr w14:val="tx1"/>
            </w14:solidFill>
          </w14:textFill>
        </w:rPr>
        <w:t>、汉语言文学、新闻传播学及教育学相关</w:t>
      </w:r>
      <w:r>
        <w:rPr>
          <w:rFonts w:hint="eastAsia" w:ascii="仿宋" w:hAnsi="仿宋" w:eastAsia="仿宋" w:cs="华文楷体"/>
          <w:color w:val="000000" w:themeColor="text1"/>
          <w:sz w:val="32"/>
          <w:szCs w:val="32"/>
          <w:lang w:eastAsia="zh-Hans"/>
          <w14:textFill>
            <w14:solidFill>
              <w14:schemeClr w14:val="tx1"/>
            </w14:solidFill>
          </w14:textFill>
        </w:rPr>
        <w:t>等</w:t>
      </w:r>
      <w:r>
        <w:rPr>
          <w:rFonts w:hint="eastAsia" w:ascii="仿宋" w:hAnsi="仿宋" w:eastAsia="仿宋" w:cs="华文楷体"/>
          <w:color w:val="000000" w:themeColor="text1"/>
          <w:sz w:val="32"/>
          <w:szCs w:val="32"/>
          <w14:textFill>
            <w14:solidFill>
              <w14:schemeClr w14:val="tx1"/>
            </w14:solidFill>
          </w14:textFill>
        </w:rPr>
        <w:t>专业；其他专业综合素质特别优秀者，可适当放宽专业要求。</w:t>
      </w:r>
    </w:p>
    <w:p w14:paraId="19C97E3F">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lang w:val="en-US" w:eastAsia="zh-CN"/>
          <w14:textFill>
            <w14:solidFill>
              <w14:schemeClr w14:val="tx1"/>
            </w14:solidFill>
          </w14:textFill>
        </w:rPr>
        <w:t>三</w:t>
      </w: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考生综合素质优秀，形象端庄，仪态大方，才艺突出，语言表达能力强，英语听说读写熟练、口语流利自然。</w:t>
      </w:r>
    </w:p>
    <w:p w14:paraId="1FDEEBFA">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报名</w:t>
      </w:r>
    </w:p>
    <w:p w14:paraId="58C3BBA8">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根据教育部有关通知要求执行。</w:t>
      </w:r>
    </w:p>
    <w:p w14:paraId="1EFD01BE">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四、初试</w:t>
      </w:r>
    </w:p>
    <w:p w14:paraId="10D931F1">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（一）初试日期和时间</w:t>
      </w:r>
    </w:p>
    <w:p w14:paraId="57EBC6D4">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根据教育部有关通知要求执行</w:t>
      </w:r>
      <w:r>
        <w:rPr>
          <w:rFonts w:hint="eastAsia" w:ascii="仿宋" w:hAnsi="仿宋" w:eastAsia="仿宋" w:cs="Helvetica"/>
          <w:color w:val="000000" w:themeColor="text1"/>
          <w:sz w:val="32"/>
          <w:szCs w:val="32"/>
          <w14:textFill>
            <w14:solidFill>
              <w14:schemeClr w14:val="tx1"/>
            </w14:solidFill>
          </w14:textFill>
        </w:rPr>
        <w:t>。</w:t>
      </w:r>
    </w:p>
    <w:p w14:paraId="6DBCDF48">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（二）初试科目</w:t>
      </w:r>
    </w:p>
    <w:p w14:paraId="0BCD6293">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1</w:t>
      </w: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思想政治理论</w:t>
      </w:r>
    </w:p>
    <w:p w14:paraId="6DE69E7A">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2</w:t>
      </w: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英语一</w:t>
      </w:r>
    </w:p>
    <w:p w14:paraId="3BCCA619">
      <w:pPr>
        <w:pStyle w:val="4"/>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3</w:t>
      </w: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汉语基础</w:t>
      </w:r>
      <w:r>
        <w:rPr>
          <w:rFonts w:ascii="仿宋" w:hAnsi="仿宋" w:eastAsia="仿宋" w:cs="华文楷体"/>
          <w:color w:val="000000" w:themeColor="text1"/>
          <w:sz w:val="32"/>
          <w:szCs w:val="32"/>
          <w14:textFill>
            <w14:solidFill>
              <w14:schemeClr w14:val="tx1"/>
            </w14:solidFill>
          </w14:textFill>
        </w:rPr>
        <w:t xml:space="preserve">     </w:t>
      </w:r>
    </w:p>
    <w:p w14:paraId="3E8037DF">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4</w:t>
      </w:r>
      <w:r>
        <w:rPr>
          <w:rFonts w:hint="eastAsia" w:ascii="仿宋" w:hAnsi="仿宋" w:eastAsia="仿宋" w:cs="华文楷体"/>
          <w:color w:val="000000" w:themeColor="text1"/>
          <w:sz w:val="32"/>
          <w:szCs w:val="32"/>
          <w:lang w:eastAsia="zh-CN"/>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汉语国际教育基础</w:t>
      </w:r>
      <w:r>
        <w:rPr>
          <w:rFonts w:ascii="仿宋" w:hAnsi="仿宋" w:eastAsia="仿宋" w:cs="华文楷体"/>
          <w:color w:val="000000" w:themeColor="text1"/>
          <w:sz w:val="32"/>
          <w:szCs w:val="32"/>
          <w14:textFill>
            <w14:solidFill>
              <w14:schemeClr w14:val="tx1"/>
            </w14:solidFill>
          </w14:textFill>
        </w:rPr>
        <w:t xml:space="preserve">   </w:t>
      </w:r>
    </w:p>
    <w:p w14:paraId="50131542">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五、复试</w:t>
      </w:r>
    </w:p>
    <w:p w14:paraId="75262A03">
      <w:pPr>
        <w:pStyle w:val="21"/>
        <w:spacing w:line="560" w:lineRule="exact"/>
        <w:ind w:firstLine="64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待初试成绩国家线下达后，我院会根据上线考生情况确定本专业复试线及复试要求。复试阶段将重点考核考生的综合素质、英语综合应用能力、普通话水平、口语表达能力、汉语基础知识、课堂教学潜力、科研素养、才艺及跨文化交际能力等。</w:t>
      </w:r>
    </w:p>
    <w:p w14:paraId="7AC19ED7">
      <w:pPr>
        <w:pStyle w:val="21"/>
        <w:spacing w:line="560" w:lineRule="exact"/>
        <w:ind w:firstLine="64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复试预计于2025年4月举行，具体安排另行通知。复试时将对考生的报考资格进行审查，同时对考生的</w:t>
      </w:r>
      <w:r>
        <w:rPr>
          <w:rFonts w:ascii="仿宋" w:hAnsi="仿宋" w:eastAsia="仿宋" w:cs="华文楷体"/>
          <w:color w:val="000000" w:themeColor="text1"/>
          <w:sz w:val="32"/>
          <w:szCs w:val="32"/>
          <w14:textFill>
            <w14:solidFill>
              <w14:schemeClr w14:val="tx1"/>
            </w14:solidFill>
          </w14:textFill>
        </w:rPr>
        <w:t>思想政治素质和品德</w:t>
      </w:r>
      <w:r>
        <w:rPr>
          <w:rFonts w:hint="eastAsia" w:ascii="仿宋" w:hAnsi="仿宋" w:eastAsia="仿宋" w:cs="华文楷体"/>
          <w:color w:val="000000" w:themeColor="text1"/>
          <w:sz w:val="32"/>
          <w:szCs w:val="32"/>
          <w14:textFill>
            <w14:solidFill>
              <w14:schemeClr w14:val="tx1"/>
            </w14:solidFill>
          </w14:textFill>
        </w:rPr>
        <w:t>进行考查。</w:t>
      </w:r>
    </w:p>
    <w:p w14:paraId="7E9C53F3">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六、录取</w:t>
      </w:r>
    </w:p>
    <w:p w14:paraId="36C977D4">
      <w:pPr>
        <w:pStyle w:val="21"/>
        <w:spacing w:line="560" w:lineRule="exact"/>
        <w:ind w:firstLine="64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在教育部招生政策的指导下，综合考虑考生的考试成绩、思想政治表现和身心健康状况</w:t>
      </w:r>
      <w:r>
        <w:rPr>
          <w:rFonts w:hint="eastAsia" w:ascii="仿宋" w:hAnsi="仿宋" w:eastAsia="仿宋" w:cs="华文楷体"/>
          <w:color w:val="000000" w:themeColor="text1"/>
          <w:sz w:val="32"/>
          <w:szCs w:val="32"/>
          <w:lang w:val="en-US" w:eastAsia="zh-CN"/>
          <w14:textFill>
            <w14:solidFill>
              <w14:schemeClr w14:val="tx1"/>
            </w14:solidFill>
          </w14:textFill>
        </w:rPr>
        <w:t>等</w:t>
      </w:r>
      <w:r>
        <w:rPr>
          <w:rFonts w:hint="eastAsia" w:ascii="仿宋" w:hAnsi="仿宋" w:eastAsia="仿宋" w:cs="华文楷体"/>
          <w:color w:val="000000" w:themeColor="text1"/>
          <w:sz w:val="32"/>
          <w:szCs w:val="32"/>
          <w14:textFill>
            <w14:solidFill>
              <w14:schemeClr w14:val="tx1"/>
            </w14:solidFill>
          </w14:textFill>
        </w:rPr>
        <w:t>进行择优录取。同等条件下，托福（</w:t>
      </w:r>
      <w:r>
        <w:rPr>
          <w:rFonts w:ascii="仿宋" w:hAnsi="仿宋" w:eastAsia="仿宋" w:cs="华文楷体"/>
          <w:color w:val="000000" w:themeColor="text1"/>
          <w:sz w:val="32"/>
          <w:szCs w:val="32"/>
          <w14:textFill>
            <w14:solidFill>
              <w14:schemeClr w14:val="tx1"/>
            </w14:solidFill>
          </w14:textFill>
        </w:rPr>
        <w:t>TOEFL</w:t>
      </w:r>
      <w:r>
        <w:rPr>
          <w:rFonts w:hint="eastAsia" w:ascii="仿宋" w:hAnsi="仿宋" w:eastAsia="仿宋" w:cs="华文楷体"/>
          <w:color w:val="000000" w:themeColor="text1"/>
          <w:sz w:val="32"/>
          <w:szCs w:val="32"/>
          <w14:textFill>
            <w14:solidFill>
              <w14:schemeClr w14:val="tx1"/>
            </w14:solidFill>
          </w14:textFill>
        </w:rPr>
        <w:t>）成绩在</w:t>
      </w:r>
      <w:r>
        <w:rPr>
          <w:rFonts w:ascii="仿宋" w:hAnsi="仿宋" w:eastAsia="仿宋" w:cs="华文楷体"/>
          <w:color w:val="000000" w:themeColor="text1"/>
          <w:sz w:val="32"/>
          <w:szCs w:val="32"/>
          <w14:textFill>
            <w14:solidFill>
              <w14:schemeClr w14:val="tx1"/>
            </w14:solidFill>
          </w14:textFill>
        </w:rPr>
        <w:t>80</w:t>
      </w:r>
      <w:r>
        <w:rPr>
          <w:rFonts w:hint="eastAsia" w:ascii="仿宋" w:hAnsi="仿宋" w:eastAsia="仿宋" w:cs="华文楷体"/>
          <w:color w:val="000000" w:themeColor="text1"/>
          <w:sz w:val="32"/>
          <w:szCs w:val="32"/>
          <w14:textFill>
            <w14:solidFill>
              <w14:schemeClr w14:val="tx1"/>
            </w14:solidFill>
          </w14:textFill>
        </w:rPr>
        <w:t>分及以上或雅思成绩6.5及以上者优先录取。</w:t>
      </w:r>
    </w:p>
    <w:p w14:paraId="45853DC6">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本专业只招收非定向考生，考生需将本人人事档案转入学校。</w:t>
      </w:r>
    </w:p>
    <w:p w14:paraId="0A510A96">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七、学制与学费</w:t>
      </w:r>
    </w:p>
    <w:p w14:paraId="51DDC336">
      <w:pPr>
        <w:pStyle w:val="4"/>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基本学制为</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w:t>
      </w:r>
    </w:p>
    <w:p w14:paraId="32076F89">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学费为</w:t>
      </w:r>
      <w:r>
        <w:rPr>
          <w:rFonts w:ascii="仿宋" w:hAnsi="仿宋" w:eastAsia="仿宋" w:cs="华文楷体"/>
          <w:color w:val="000000" w:themeColor="text1"/>
          <w:sz w:val="32"/>
          <w:szCs w:val="32"/>
          <w14:textFill>
            <w14:solidFill>
              <w14:schemeClr w14:val="tx1"/>
            </w14:solidFill>
          </w14:textFill>
        </w:rPr>
        <w:t>15000</w:t>
      </w:r>
      <w:r>
        <w:rPr>
          <w:rFonts w:hint="eastAsia" w:ascii="仿宋" w:hAnsi="仿宋" w:eastAsia="仿宋" w:cs="华文楷体"/>
          <w:color w:val="000000" w:themeColor="text1"/>
          <w:sz w:val="32"/>
          <w:szCs w:val="32"/>
          <w14:textFill>
            <w14:solidFill>
              <w14:schemeClr w14:val="tx1"/>
            </w14:solidFill>
          </w14:textFill>
        </w:rPr>
        <w:t>元人民币</w:t>
      </w:r>
      <w:r>
        <w:rPr>
          <w:rFonts w:ascii="仿宋" w:hAnsi="仿宋" w:eastAsia="仿宋" w:cs="华文楷体"/>
          <w:color w:val="000000" w:themeColor="text1"/>
          <w:sz w:val="32"/>
          <w:szCs w:val="32"/>
          <w14:textFill>
            <w14:solidFill>
              <w14:schemeClr w14:val="tx1"/>
            </w14:solidFill>
          </w14:textFill>
        </w:rPr>
        <w:t>/</w:t>
      </w:r>
      <w:r>
        <w:rPr>
          <w:rFonts w:hint="eastAsia" w:ascii="仿宋" w:hAnsi="仿宋" w:eastAsia="仿宋" w:cs="华文楷体"/>
          <w:color w:val="000000" w:themeColor="text1"/>
          <w:sz w:val="32"/>
          <w:szCs w:val="32"/>
          <w14:textFill>
            <w14:solidFill>
              <w14:schemeClr w14:val="tx1"/>
            </w14:solidFill>
          </w14:textFill>
        </w:rPr>
        <w:t>年，即三年合计</w:t>
      </w:r>
      <w:r>
        <w:rPr>
          <w:rFonts w:ascii="仿宋" w:hAnsi="仿宋" w:eastAsia="仿宋" w:cs="华文楷体"/>
          <w:color w:val="000000" w:themeColor="text1"/>
          <w:sz w:val="32"/>
          <w:szCs w:val="32"/>
          <w14:textFill>
            <w14:solidFill>
              <w14:schemeClr w14:val="tx1"/>
            </w14:solidFill>
          </w14:textFill>
        </w:rPr>
        <w:t>45000</w:t>
      </w:r>
      <w:r>
        <w:rPr>
          <w:rFonts w:hint="eastAsia" w:ascii="仿宋" w:hAnsi="仿宋" w:eastAsia="仿宋" w:cs="华文楷体"/>
          <w:color w:val="000000" w:themeColor="text1"/>
          <w:sz w:val="32"/>
          <w:szCs w:val="32"/>
          <w14:textFill>
            <w14:solidFill>
              <w14:schemeClr w14:val="tx1"/>
            </w14:solidFill>
          </w14:textFill>
        </w:rPr>
        <w:t>元人民币（不含国内外实习或出国学习所产生的费用）。</w:t>
      </w:r>
    </w:p>
    <w:p w14:paraId="3308AE24">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八、其他</w:t>
      </w:r>
    </w:p>
    <w:p w14:paraId="22DB6E41">
      <w:pPr>
        <w:tabs>
          <w:tab w:val="left" w:pos="720"/>
          <w:tab w:val="left" w:pos="8400"/>
        </w:tabs>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（一）办学特色</w:t>
      </w:r>
    </w:p>
    <w:p w14:paraId="0A3902F5">
      <w:pPr>
        <w:tabs>
          <w:tab w:val="left" w:pos="720"/>
          <w:tab w:val="left" w:pos="8400"/>
        </w:tabs>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1、本专业基本学制为三年，实行中外联合培养模式。学生在第二学年应完成教学实习，如以志愿者身份赴海外顶岗实习，在孔子学院和国外大、中、小学从事汉语教学和文化传播工作；在国内各类学校和教育机构进行教学实习等。学生第二学年还可套读欧美合作院校的硕士学位，并申请当地教师资格证。学生在第三学年完成毕业论文并参加答辩。</w:t>
      </w:r>
    </w:p>
    <w:p w14:paraId="6CE98819">
      <w:pPr>
        <w:tabs>
          <w:tab w:val="left" w:pos="720"/>
          <w:tab w:val="left" w:pos="8400"/>
        </w:tabs>
        <w:spacing w:line="560" w:lineRule="exact"/>
        <w:ind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2、学生可自费申请套读美国、爱尔兰等合作院校的汉语作为第二语言教学相关专业硕士学位，也可同时修读相关课程、实习、申请相关教师资格证等，为今后在海外长期就业打下基础；符合要求的，可申请学校相关资助。</w:t>
      </w:r>
    </w:p>
    <w:p w14:paraId="39C12D52">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3、学生还可申请参加学校各类校际交流项目赴境外合作院校学习。</w:t>
      </w:r>
    </w:p>
    <w:p w14:paraId="2B047FAE">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（二）培养方式</w:t>
      </w:r>
    </w:p>
    <w:p w14:paraId="089CA2B3">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1、导师与指导小组培养相结合、校内导师与行业导师指导相结合。</w:t>
      </w:r>
    </w:p>
    <w:p w14:paraId="3182FA99">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2、课堂教学与课外学习相结合、导师指导与学生自主学习相结合。</w:t>
      </w:r>
    </w:p>
    <w:p w14:paraId="38C6FEE6">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3、教学理论与教学实践相结合、国内和国外教学实习相结合。</w:t>
      </w:r>
    </w:p>
    <w:p w14:paraId="54A5F03B">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（三）奖学金</w:t>
      </w:r>
    </w:p>
    <w:p w14:paraId="349C0213">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所有研究生均需缴纳学费。约70%的硕士研究生可获得学校学业奖学金，具体评定办法及奖学金额度以学校最新规定为准。</w:t>
      </w:r>
    </w:p>
    <w:p w14:paraId="50696E88">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（四）</w:t>
      </w:r>
      <w:r>
        <w:rPr>
          <w:rFonts w:ascii="仿宋" w:hAnsi="仿宋" w:eastAsia="仿宋" w:cs="华文楷体"/>
          <w:color w:val="000000" w:themeColor="text1"/>
          <w:sz w:val="32"/>
          <w:szCs w:val="32"/>
          <w14:textFill>
            <w14:solidFill>
              <w14:schemeClr w14:val="tx1"/>
            </w14:solidFill>
          </w14:textFill>
        </w:rPr>
        <w:t>完成课程学习及实习环节，修满规定学分，教学实习合格，学习期间表现良好，完成学位论文撰写</w:t>
      </w:r>
      <w:r>
        <w:rPr>
          <w:rFonts w:hint="eastAsia" w:ascii="仿宋" w:hAnsi="仿宋" w:eastAsia="仿宋" w:cs="华文楷体"/>
          <w:color w:val="000000" w:themeColor="text1"/>
          <w:sz w:val="32"/>
          <w:szCs w:val="32"/>
          <w14:textFill>
            <w14:solidFill>
              <w14:schemeClr w14:val="tx1"/>
            </w14:solidFill>
          </w14:textFill>
        </w:rPr>
        <w:t>，学位论文答辩通过，即可获得中央民族大学硕士研究生毕业证书并授予国际中文教育硕士专业学位证书。学位论文可以是专题研究、调研报告、教学实验报告、典型案例分析、教学设计等。</w:t>
      </w:r>
    </w:p>
    <w:p w14:paraId="2283B179">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（五）我院不举办任何形式的考前辅导，不指定参考书目，不提供历年考题。</w:t>
      </w:r>
    </w:p>
    <w:p w14:paraId="578CDA2F">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（六）</w:t>
      </w:r>
      <w:r>
        <w:rPr>
          <w:rFonts w:ascii="仿宋" w:hAnsi="仿宋" w:eastAsia="仿宋" w:cs="华文楷体"/>
          <w:color w:val="000000" w:themeColor="text1"/>
          <w:sz w:val="32"/>
          <w:szCs w:val="32"/>
          <w14:textFill>
            <w14:solidFill>
              <w14:schemeClr w14:val="tx1"/>
            </w14:solidFill>
          </w14:textFill>
        </w:rPr>
        <w:t>我</w:t>
      </w:r>
      <w:r>
        <w:rPr>
          <w:rFonts w:hint="eastAsia" w:ascii="仿宋" w:hAnsi="仿宋" w:eastAsia="仿宋" w:cs="华文楷体"/>
          <w:color w:val="000000" w:themeColor="text1"/>
          <w:sz w:val="32"/>
          <w:szCs w:val="32"/>
          <w14:textFill>
            <w14:solidFill>
              <w14:schemeClr w14:val="tx1"/>
            </w14:solidFill>
          </w14:textFill>
        </w:rPr>
        <w:t>院</w:t>
      </w:r>
      <w:r>
        <w:rPr>
          <w:rFonts w:ascii="仿宋" w:hAnsi="仿宋" w:eastAsia="仿宋" w:cs="华文楷体"/>
          <w:color w:val="000000" w:themeColor="text1"/>
          <w:sz w:val="32"/>
          <w:szCs w:val="32"/>
          <w14:textFill>
            <w14:solidFill>
              <w14:schemeClr w14:val="tx1"/>
            </w14:solidFill>
          </w14:textFill>
        </w:rPr>
        <w:t>硕士新生原则上在丰台校区就读，</w:t>
      </w:r>
      <w:r>
        <w:rPr>
          <w:rFonts w:hint="eastAsia" w:ascii="仿宋" w:hAnsi="仿宋" w:eastAsia="仿宋" w:cs="华文楷体"/>
          <w:color w:val="000000" w:themeColor="text1"/>
          <w:sz w:val="32"/>
          <w:szCs w:val="32"/>
          <w14:textFill>
            <w14:solidFill>
              <w14:schemeClr w14:val="tx1"/>
            </w14:solidFill>
          </w14:textFill>
        </w:rPr>
        <w:t>其他年级以学校最新通知安排为准</w:t>
      </w:r>
      <w:r>
        <w:rPr>
          <w:rFonts w:ascii="仿宋" w:hAnsi="仿宋" w:eastAsia="仿宋" w:cs="华文楷体"/>
          <w:color w:val="000000" w:themeColor="text1"/>
          <w:sz w:val="32"/>
          <w:szCs w:val="32"/>
          <w14:textFill>
            <w14:solidFill>
              <w14:schemeClr w14:val="tx1"/>
            </w14:solidFill>
          </w14:textFill>
        </w:rPr>
        <w:t>。</w:t>
      </w:r>
    </w:p>
    <w:p w14:paraId="342DE572">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（七）其他未尽事宜请参看招生各阶段教育部、北京市教育考试院及学校研招办和国际教育学院研招工作通知及公告。</w:t>
      </w:r>
    </w:p>
    <w:p w14:paraId="007D6AAA">
      <w:pPr>
        <w:pStyle w:val="4"/>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九、联系方式</w:t>
      </w:r>
    </w:p>
    <w:p w14:paraId="4B85C86A">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培养单位：国际教育学院</w:t>
      </w:r>
    </w:p>
    <w:p w14:paraId="37D9C457">
      <w:pPr>
        <w:spacing w:line="56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招生工作联系人：孙老师</w:t>
      </w:r>
    </w:p>
    <w:p w14:paraId="7332BFD9">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学院研究生办公室电子邮箱：</w:t>
      </w:r>
      <w:r>
        <w:fldChar w:fldCharType="begin"/>
      </w:r>
      <w:r>
        <w:instrText xml:space="preserve"> HYPERLINK "mailto:muc68934344@gmail.com" </w:instrText>
      </w:r>
      <w:r>
        <w:fldChar w:fldCharType="separate"/>
      </w:r>
      <w:r>
        <w:rPr>
          <w:rStyle w:val="14"/>
          <w:rFonts w:ascii="仿宋" w:hAnsi="仿宋" w:eastAsia="仿宋" w:cs="华文楷体"/>
          <w:color w:val="000000" w:themeColor="text1"/>
          <w:sz w:val="32"/>
          <w:szCs w:val="32"/>
          <w14:textFill>
            <w14:solidFill>
              <w14:schemeClr w14:val="tx1"/>
            </w14:solidFill>
          </w14:textFill>
        </w:rPr>
        <w:t>muc68934344@gmail.com</w:t>
      </w:r>
      <w:r>
        <w:rPr>
          <w:rStyle w:val="14"/>
          <w:rFonts w:ascii="仿宋" w:hAnsi="仿宋" w:eastAsia="仿宋" w:cs="华文楷体"/>
          <w:color w:val="000000" w:themeColor="text1"/>
          <w:sz w:val="32"/>
          <w:szCs w:val="32"/>
          <w14:textFill>
            <w14:solidFill>
              <w14:schemeClr w14:val="tx1"/>
            </w14:solidFill>
          </w14:textFill>
        </w:rPr>
        <w:fldChar w:fldCharType="end"/>
      </w:r>
      <w:r>
        <w:rPr>
          <w:rFonts w:ascii="仿宋" w:hAnsi="仿宋" w:eastAsia="仿宋" w:cs="华文楷体"/>
          <w:color w:val="000000" w:themeColor="text1"/>
          <w:sz w:val="32"/>
          <w:szCs w:val="32"/>
          <w14:textFill>
            <w14:solidFill>
              <w14:schemeClr w14:val="tx1"/>
            </w14:solidFill>
          </w14:textFill>
        </w:rPr>
        <w:t xml:space="preserve"> </w:t>
      </w:r>
    </w:p>
    <w:p w14:paraId="6807C9AB">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学院研究生办公室电话：</w:t>
      </w:r>
      <w:r>
        <w:rPr>
          <w:rFonts w:ascii="仿宋" w:hAnsi="仿宋" w:eastAsia="仿宋" w:cs="华文楷体"/>
          <w:color w:val="000000" w:themeColor="text1"/>
          <w:sz w:val="32"/>
          <w:szCs w:val="32"/>
          <w14:textFill>
            <w14:solidFill>
              <w14:schemeClr w14:val="tx1"/>
            </w14:solidFill>
          </w14:textFill>
        </w:rPr>
        <w:t>010-68934344</w:t>
      </w:r>
    </w:p>
    <w:p w14:paraId="68E86A05">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学院网站：</w:t>
      </w:r>
      <w:r>
        <w:fldChar w:fldCharType="begin"/>
      </w:r>
      <w:r>
        <w:instrText xml:space="preserve"> HYPERLINK "http://cie.muc.edu.cn" </w:instrText>
      </w:r>
      <w:r>
        <w:fldChar w:fldCharType="separate"/>
      </w:r>
      <w:r>
        <w:rPr>
          <w:rFonts w:ascii="仿宋" w:hAnsi="仿宋" w:eastAsia="仿宋" w:cs="华文楷体"/>
          <w:color w:val="000000" w:themeColor="text1"/>
          <w:sz w:val="32"/>
          <w:szCs w:val="32"/>
          <w14:textFill>
            <w14:solidFill>
              <w14:schemeClr w14:val="tx1"/>
            </w14:solidFill>
          </w14:textFill>
        </w:rPr>
        <w:t>http://cie.muc.edu.cn</w:t>
      </w:r>
      <w:r>
        <w:rPr>
          <w:rFonts w:ascii="仿宋" w:hAnsi="仿宋" w:eastAsia="仿宋" w:cs="华文楷体"/>
          <w:color w:val="000000" w:themeColor="text1"/>
          <w:sz w:val="32"/>
          <w:szCs w:val="32"/>
          <w14:textFill>
            <w14:solidFill>
              <w14:schemeClr w14:val="tx1"/>
            </w14:solidFill>
          </w14:textFill>
        </w:rPr>
        <w:fldChar w:fldCharType="end"/>
      </w:r>
    </w:p>
    <w:p w14:paraId="0E927BF4">
      <w:pPr>
        <w:spacing w:line="560" w:lineRule="exact"/>
        <w:ind w:firstLine="640" w:firstLineChars="200"/>
        <w:rPr>
          <w:rFonts w:ascii="仿宋" w:hAnsi="仿宋" w:eastAsia="仿宋" w:cs="华文楷体"/>
          <w:color w:val="000000" w:themeColor="text1"/>
          <w:sz w:val="32"/>
          <w:szCs w:val="32"/>
          <w14:textFill>
            <w14:solidFill>
              <w14:schemeClr w14:val="tx1"/>
            </w14:solidFill>
          </w14:textFill>
        </w:rPr>
      </w:pPr>
      <w:r>
        <w:rPr>
          <w:rFonts w:hint="eastAsia" w:ascii="仿宋" w:hAnsi="仿宋" w:eastAsia="仿宋" w:cs="华文楷体"/>
          <w:color w:val="000000" w:themeColor="text1"/>
          <w:sz w:val="32"/>
          <w:szCs w:val="32"/>
          <w14:textFill>
            <w14:solidFill>
              <w14:schemeClr w14:val="tx1"/>
            </w14:solidFill>
          </w14:textFill>
        </w:rPr>
        <w:t>注：拟招生计划以研究生院公布的2025年硕士研究生招生专业目录为准。</w:t>
      </w:r>
    </w:p>
    <w:p w14:paraId="18A1C7B4">
      <w:pPr>
        <w:pStyle w:val="16"/>
        <w:spacing w:line="560" w:lineRule="exact"/>
        <w:ind w:right="280" w:firstLine="0" w:firstLineChars="0"/>
        <w:jc w:val="right"/>
        <w:rPr>
          <w:rFonts w:ascii="仿宋" w:hAnsi="仿宋" w:eastAsia="仿宋" w:cs="Times New Roman"/>
          <w:color w:val="000000" w:themeColor="text1"/>
          <w:sz w:val="32"/>
          <w:szCs w:val="32"/>
          <w14:textFill>
            <w14:solidFill>
              <w14:schemeClr w14:val="tx1"/>
            </w14:solidFill>
          </w14:textFill>
        </w:rPr>
      </w:pPr>
    </w:p>
    <w:p w14:paraId="619F17B2">
      <w:pPr>
        <w:pStyle w:val="16"/>
        <w:spacing w:line="560" w:lineRule="exact"/>
        <w:ind w:firstLine="0" w:firstLineChars="0"/>
        <w:jc w:val="right"/>
        <w:rPr>
          <w:rFonts w:ascii="仿宋" w:hAnsi="仿宋" w:eastAsia="仿宋" w:cs="Times New Roman"/>
          <w:color w:val="000000" w:themeColor="text1"/>
          <w:sz w:val="32"/>
          <w:szCs w:val="32"/>
          <w14:textFill>
            <w14:solidFill>
              <w14:schemeClr w14:val="tx1"/>
            </w14:solidFill>
          </w14:textFill>
        </w:rPr>
      </w:pPr>
    </w:p>
    <w:p w14:paraId="5E7F075B">
      <w:pPr>
        <w:pStyle w:val="16"/>
        <w:spacing w:line="560" w:lineRule="exact"/>
        <w:ind w:firstLine="0" w:firstLineChars="0"/>
        <w:jc w:val="right"/>
        <w:rPr>
          <w:rFonts w:ascii="仿宋" w:hAnsi="仿宋" w:eastAsia="仿宋" w:cs="Times New Roman"/>
          <w:color w:val="000000" w:themeColor="text1"/>
          <w:sz w:val="32"/>
          <w:szCs w:val="32"/>
          <w14:textFill>
            <w14:solidFill>
              <w14:schemeClr w14:val="tx1"/>
            </w14:solidFill>
          </w14:textFill>
        </w:rPr>
      </w:pPr>
    </w:p>
    <w:p w14:paraId="07EF864D">
      <w:pPr>
        <w:pStyle w:val="16"/>
        <w:spacing w:line="560" w:lineRule="exact"/>
        <w:ind w:firstLine="0" w:firstLineChars="0"/>
        <w:jc w:val="righ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国际教育学院</w:t>
      </w:r>
    </w:p>
    <w:p w14:paraId="18E180C3">
      <w:pPr>
        <w:pStyle w:val="16"/>
        <w:spacing w:line="560" w:lineRule="exact"/>
        <w:ind w:left="750" w:firstLine="640"/>
        <w:jc w:val="right"/>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20</w:t>
      </w:r>
      <w:r>
        <w:rPr>
          <w:rFonts w:hint="eastAsia" w:ascii="仿宋" w:hAnsi="仿宋" w:eastAsia="仿宋" w:cs="Times New Roman"/>
          <w:color w:val="000000" w:themeColor="text1"/>
          <w:sz w:val="32"/>
          <w:szCs w:val="32"/>
          <w14:textFill>
            <w14:solidFill>
              <w14:schemeClr w14:val="tx1"/>
            </w14:solidFill>
          </w14:textFill>
        </w:rPr>
        <w:t>24年</w:t>
      </w:r>
      <w:r>
        <w:rPr>
          <w:rFonts w:ascii="仿宋" w:hAnsi="仿宋" w:eastAsia="仿宋" w:cs="Times New Roman"/>
          <w:color w:val="000000" w:themeColor="text1"/>
          <w:sz w:val="32"/>
          <w:szCs w:val="32"/>
          <w14:textFill>
            <w14:solidFill>
              <w14:schemeClr w14:val="tx1"/>
            </w14:solidFill>
          </w14:textFill>
        </w:rPr>
        <w:t>9</w:t>
      </w:r>
      <w:r>
        <w:rPr>
          <w:rFonts w:hint="eastAsia" w:ascii="仿宋" w:hAnsi="仿宋" w:eastAsia="仿宋" w:cs="Times New Roman"/>
          <w:color w:val="000000" w:themeColor="text1"/>
          <w:sz w:val="32"/>
          <w:szCs w:val="32"/>
          <w14:textFill>
            <w14:solidFill>
              <w14:schemeClr w14:val="tx1"/>
            </w14:solidFill>
          </w14:textFill>
        </w:rPr>
        <w:t>月</w:t>
      </w:r>
      <w:bookmarkStart w:id="0" w:name="_GoBack"/>
      <w:bookmarkEnd w:id="0"/>
    </w:p>
    <w:sectPr>
      <w:pgSz w:w="11906" w:h="16838"/>
      <w:pgMar w:top="119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565F49-196A-4C12-AAF4-76EDDBC88D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8A0218-3604-42AF-A76D-A139062CF42D}"/>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3" w:fontKey="{A95E4C6C-0C01-4B13-90FA-CAEA008DBFAB}"/>
  </w:font>
  <w:font w:name="仿宋">
    <w:panose1 w:val="02010609060101010101"/>
    <w:charset w:val="86"/>
    <w:family w:val="modern"/>
    <w:pitch w:val="default"/>
    <w:sig w:usb0="800002BF" w:usb1="38CF7CFA" w:usb2="00000016" w:usb3="00000000" w:csb0="00040001" w:csb1="00000000"/>
    <w:embedRegular r:id="rId4" w:fontKey="{3D205F80-56EE-4231-9546-06C7871A1B46}"/>
  </w:font>
  <w:font w:name="华文楷体">
    <w:panose1 w:val="02010600040101010101"/>
    <w:charset w:val="86"/>
    <w:family w:val="auto"/>
    <w:pitch w:val="default"/>
    <w:sig w:usb0="00000287" w:usb1="080F0000" w:usb2="00000000" w:usb3="00000000" w:csb0="0004009F" w:csb1="DFD70000"/>
    <w:embedRegular r:id="rId5" w:fontKey="{8EFFFDDB-D8E7-414C-BDE9-FF25A503547E}"/>
  </w:font>
  <w:font w:name="Helvetica">
    <w:altName w:val="Arial"/>
    <w:panose1 w:val="020B0604020202020204"/>
    <w:charset w:val="00"/>
    <w:family w:val="swiss"/>
    <w:pitch w:val="default"/>
    <w:sig w:usb0="00000000" w:usb1="00000000" w:usb2="00000000" w:usb3="00000000" w:csb0="00000001" w:csb1="00000000"/>
    <w:embedRegular r:id="rId6" w:fontKey="{B95A4F27-B454-4FAA-A8F9-46E8200E0A7E}"/>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OGE3ZjM1MjU2NTMyZmMwNWQ5MzFlNTRlYjVmMDMifQ=="/>
  </w:docVars>
  <w:rsids>
    <w:rsidRoot w:val="0012137C"/>
    <w:rsid w:val="00000AB8"/>
    <w:rsid w:val="00003D19"/>
    <w:rsid w:val="00007AAD"/>
    <w:rsid w:val="00010314"/>
    <w:rsid w:val="00015C6A"/>
    <w:rsid w:val="0001639F"/>
    <w:rsid w:val="0003090F"/>
    <w:rsid w:val="00035D0A"/>
    <w:rsid w:val="0004038D"/>
    <w:rsid w:val="00072973"/>
    <w:rsid w:val="0009097F"/>
    <w:rsid w:val="000A25CC"/>
    <w:rsid w:val="000A77B6"/>
    <w:rsid w:val="000B7B19"/>
    <w:rsid w:val="000C5C48"/>
    <w:rsid w:val="000E3440"/>
    <w:rsid w:val="00107EDF"/>
    <w:rsid w:val="00110C05"/>
    <w:rsid w:val="001112A1"/>
    <w:rsid w:val="0012137C"/>
    <w:rsid w:val="001253BD"/>
    <w:rsid w:val="00135190"/>
    <w:rsid w:val="001546E2"/>
    <w:rsid w:val="001623A9"/>
    <w:rsid w:val="001820A9"/>
    <w:rsid w:val="00185CF1"/>
    <w:rsid w:val="001A0B56"/>
    <w:rsid w:val="001A2A3F"/>
    <w:rsid w:val="001B0799"/>
    <w:rsid w:val="001B4013"/>
    <w:rsid w:val="001C1D19"/>
    <w:rsid w:val="001C5AF9"/>
    <w:rsid w:val="001D37CF"/>
    <w:rsid w:val="001E3012"/>
    <w:rsid w:val="001E55EF"/>
    <w:rsid w:val="001E7BB4"/>
    <w:rsid w:val="001F601A"/>
    <w:rsid w:val="0020293F"/>
    <w:rsid w:val="002039EB"/>
    <w:rsid w:val="00203D21"/>
    <w:rsid w:val="0022353A"/>
    <w:rsid w:val="00260137"/>
    <w:rsid w:val="0026472D"/>
    <w:rsid w:val="00274D6C"/>
    <w:rsid w:val="002916E4"/>
    <w:rsid w:val="002927CA"/>
    <w:rsid w:val="002A2D3C"/>
    <w:rsid w:val="002A332F"/>
    <w:rsid w:val="002B487B"/>
    <w:rsid w:val="002C1D2B"/>
    <w:rsid w:val="002C67EA"/>
    <w:rsid w:val="002C6E1D"/>
    <w:rsid w:val="002E0FA8"/>
    <w:rsid w:val="002F0FFF"/>
    <w:rsid w:val="003029CF"/>
    <w:rsid w:val="003119EA"/>
    <w:rsid w:val="00331D2A"/>
    <w:rsid w:val="00373267"/>
    <w:rsid w:val="00374742"/>
    <w:rsid w:val="003C00D2"/>
    <w:rsid w:val="003C6C93"/>
    <w:rsid w:val="003D43AA"/>
    <w:rsid w:val="003F077E"/>
    <w:rsid w:val="003F3122"/>
    <w:rsid w:val="00401BD0"/>
    <w:rsid w:val="00401F0C"/>
    <w:rsid w:val="00402371"/>
    <w:rsid w:val="004101B4"/>
    <w:rsid w:val="00435ABD"/>
    <w:rsid w:val="004401B7"/>
    <w:rsid w:val="004414D6"/>
    <w:rsid w:val="004449BB"/>
    <w:rsid w:val="004451A1"/>
    <w:rsid w:val="00460E59"/>
    <w:rsid w:val="00466557"/>
    <w:rsid w:val="00476BBC"/>
    <w:rsid w:val="00483416"/>
    <w:rsid w:val="004B2090"/>
    <w:rsid w:val="004B558B"/>
    <w:rsid w:val="004D4AF8"/>
    <w:rsid w:val="005014DA"/>
    <w:rsid w:val="0052742F"/>
    <w:rsid w:val="00533533"/>
    <w:rsid w:val="00534BA7"/>
    <w:rsid w:val="00535599"/>
    <w:rsid w:val="00545B42"/>
    <w:rsid w:val="00557F2C"/>
    <w:rsid w:val="005656AD"/>
    <w:rsid w:val="00565829"/>
    <w:rsid w:val="005735F9"/>
    <w:rsid w:val="0058106D"/>
    <w:rsid w:val="00590123"/>
    <w:rsid w:val="00594DE5"/>
    <w:rsid w:val="00594F9A"/>
    <w:rsid w:val="00597CE0"/>
    <w:rsid w:val="005B12E6"/>
    <w:rsid w:val="005B6D7D"/>
    <w:rsid w:val="005C05DB"/>
    <w:rsid w:val="005C40DD"/>
    <w:rsid w:val="00601BA4"/>
    <w:rsid w:val="006103CC"/>
    <w:rsid w:val="00616437"/>
    <w:rsid w:val="006235E3"/>
    <w:rsid w:val="00626449"/>
    <w:rsid w:val="006331CB"/>
    <w:rsid w:val="00652AF1"/>
    <w:rsid w:val="0065332F"/>
    <w:rsid w:val="0066050A"/>
    <w:rsid w:val="00666174"/>
    <w:rsid w:val="00676CC2"/>
    <w:rsid w:val="006822C7"/>
    <w:rsid w:val="00683537"/>
    <w:rsid w:val="006C1868"/>
    <w:rsid w:val="006C497C"/>
    <w:rsid w:val="006E03C8"/>
    <w:rsid w:val="006E40F0"/>
    <w:rsid w:val="006E43F0"/>
    <w:rsid w:val="006F1DE8"/>
    <w:rsid w:val="006F464D"/>
    <w:rsid w:val="006F4A9F"/>
    <w:rsid w:val="00700512"/>
    <w:rsid w:val="0070213F"/>
    <w:rsid w:val="0071601D"/>
    <w:rsid w:val="00720EB4"/>
    <w:rsid w:val="0072529E"/>
    <w:rsid w:val="00726AC5"/>
    <w:rsid w:val="00757162"/>
    <w:rsid w:val="00780D2A"/>
    <w:rsid w:val="00786EF3"/>
    <w:rsid w:val="007B21BF"/>
    <w:rsid w:val="007C503D"/>
    <w:rsid w:val="007D0BA8"/>
    <w:rsid w:val="007D6013"/>
    <w:rsid w:val="007F3C42"/>
    <w:rsid w:val="00822556"/>
    <w:rsid w:val="00836DC6"/>
    <w:rsid w:val="00855272"/>
    <w:rsid w:val="00857367"/>
    <w:rsid w:val="00857DA6"/>
    <w:rsid w:val="00862732"/>
    <w:rsid w:val="00875DA7"/>
    <w:rsid w:val="00887FF0"/>
    <w:rsid w:val="008903D1"/>
    <w:rsid w:val="008960B7"/>
    <w:rsid w:val="008A3E57"/>
    <w:rsid w:val="008B0235"/>
    <w:rsid w:val="008B2209"/>
    <w:rsid w:val="008C05BF"/>
    <w:rsid w:val="008D6AF0"/>
    <w:rsid w:val="008E33B3"/>
    <w:rsid w:val="008F0B19"/>
    <w:rsid w:val="0092318A"/>
    <w:rsid w:val="00925253"/>
    <w:rsid w:val="00930CA3"/>
    <w:rsid w:val="00935055"/>
    <w:rsid w:val="00937730"/>
    <w:rsid w:val="009566A8"/>
    <w:rsid w:val="00984965"/>
    <w:rsid w:val="0098539F"/>
    <w:rsid w:val="009908B1"/>
    <w:rsid w:val="009B45F0"/>
    <w:rsid w:val="009C2C7B"/>
    <w:rsid w:val="009C5B62"/>
    <w:rsid w:val="009E0E44"/>
    <w:rsid w:val="009E6C6B"/>
    <w:rsid w:val="009F4438"/>
    <w:rsid w:val="009F7E7B"/>
    <w:rsid w:val="00A26CF4"/>
    <w:rsid w:val="00A36EF9"/>
    <w:rsid w:val="00A430DC"/>
    <w:rsid w:val="00A607D8"/>
    <w:rsid w:val="00A67A9B"/>
    <w:rsid w:val="00A72A87"/>
    <w:rsid w:val="00AA3430"/>
    <w:rsid w:val="00AA674C"/>
    <w:rsid w:val="00AA6965"/>
    <w:rsid w:val="00AB729B"/>
    <w:rsid w:val="00AD1B1F"/>
    <w:rsid w:val="00AD456A"/>
    <w:rsid w:val="00AD663B"/>
    <w:rsid w:val="00AD668A"/>
    <w:rsid w:val="00AE00CC"/>
    <w:rsid w:val="00AE0BD1"/>
    <w:rsid w:val="00B046B4"/>
    <w:rsid w:val="00B1080E"/>
    <w:rsid w:val="00B138C5"/>
    <w:rsid w:val="00B17643"/>
    <w:rsid w:val="00B2374E"/>
    <w:rsid w:val="00B60159"/>
    <w:rsid w:val="00B63652"/>
    <w:rsid w:val="00B712F2"/>
    <w:rsid w:val="00B801B6"/>
    <w:rsid w:val="00BB4915"/>
    <w:rsid w:val="00BC2BA6"/>
    <w:rsid w:val="00BC2BE0"/>
    <w:rsid w:val="00BC6914"/>
    <w:rsid w:val="00BD73D8"/>
    <w:rsid w:val="00BF03A7"/>
    <w:rsid w:val="00BF680B"/>
    <w:rsid w:val="00C14B4E"/>
    <w:rsid w:val="00C20E01"/>
    <w:rsid w:val="00C251AB"/>
    <w:rsid w:val="00C27160"/>
    <w:rsid w:val="00C30468"/>
    <w:rsid w:val="00C33612"/>
    <w:rsid w:val="00C342B2"/>
    <w:rsid w:val="00C42EC3"/>
    <w:rsid w:val="00C44DC6"/>
    <w:rsid w:val="00C51FF8"/>
    <w:rsid w:val="00C62AD3"/>
    <w:rsid w:val="00C7368C"/>
    <w:rsid w:val="00C915C8"/>
    <w:rsid w:val="00C9559B"/>
    <w:rsid w:val="00CB1104"/>
    <w:rsid w:val="00CC6CC0"/>
    <w:rsid w:val="00CD5104"/>
    <w:rsid w:val="00CE23A8"/>
    <w:rsid w:val="00CE2CD4"/>
    <w:rsid w:val="00CE7A58"/>
    <w:rsid w:val="00CF401E"/>
    <w:rsid w:val="00CF6979"/>
    <w:rsid w:val="00D027BB"/>
    <w:rsid w:val="00D04B76"/>
    <w:rsid w:val="00D133C3"/>
    <w:rsid w:val="00D20CF2"/>
    <w:rsid w:val="00D2105A"/>
    <w:rsid w:val="00D21641"/>
    <w:rsid w:val="00D35EEF"/>
    <w:rsid w:val="00D766E7"/>
    <w:rsid w:val="00D7720E"/>
    <w:rsid w:val="00DC7482"/>
    <w:rsid w:val="00DE0D3C"/>
    <w:rsid w:val="00DF2C4C"/>
    <w:rsid w:val="00DF50CD"/>
    <w:rsid w:val="00E01124"/>
    <w:rsid w:val="00E04889"/>
    <w:rsid w:val="00E05CFB"/>
    <w:rsid w:val="00E13FA5"/>
    <w:rsid w:val="00E242B8"/>
    <w:rsid w:val="00E32F76"/>
    <w:rsid w:val="00E37016"/>
    <w:rsid w:val="00E616D4"/>
    <w:rsid w:val="00E6232F"/>
    <w:rsid w:val="00E66903"/>
    <w:rsid w:val="00E80DB6"/>
    <w:rsid w:val="00E83D1B"/>
    <w:rsid w:val="00E91C74"/>
    <w:rsid w:val="00EA1074"/>
    <w:rsid w:val="00EA2E63"/>
    <w:rsid w:val="00EF00F7"/>
    <w:rsid w:val="00F025B9"/>
    <w:rsid w:val="00F10745"/>
    <w:rsid w:val="00F120C4"/>
    <w:rsid w:val="00F12B34"/>
    <w:rsid w:val="00F15430"/>
    <w:rsid w:val="00F25301"/>
    <w:rsid w:val="00F34112"/>
    <w:rsid w:val="00F5049A"/>
    <w:rsid w:val="00F532EB"/>
    <w:rsid w:val="00F540FF"/>
    <w:rsid w:val="00F6046C"/>
    <w:rsid w:val="00F761C6"/>
    <w:rsid w:val="00F829FA"/>
    <w:rsid w:val="00F82FAD"/>
    <w:rsid w:val="00F83E33"/>
    <w:rsid w:val="00F928F7"/>
    <w:rsid w:val="00FA13CA"/>
    <w:rsid w:val="00FA2BE0"/>
    <w:rsid w:val="00FB2306"/>
    <w:rsid w:val="00FD21AE"/>
    <w:rsid w:val="00FD34D3"/>
    <w:rsid w:val="00FD51C5"/>
    <w:rsid w:val="00FE3B2E"/>
    <w:rsid w:val="00FF2833"/>
    <w:rsid w:val="00FF399C"/>
    <w:rsid w:val="00FF7946"/>
    <w:rsid w:val="00FF79AE"/>
    <w:rsid w:val="05905737"/>
    <w:rsid w:val="069A7154"/>
    <w:rsid w:val="0E583BBB"/>
    <w:rsid w:val="0F533F4B"/>
    <w:rsid w:val="0F565859"/>
    <w:rsid w:val="148619C8"/>
    <w:rsid w:val="18BC7F8A"/>
    <w:rsid w:val="1E3B1804"/>
    <w:rsid w:val="20CE0ED9"/>
    <w:rsid w:val="37AF5E36"/>
    <w:rsid w:val="53A5521A"/>
    <w:rsid w:val="54BC080D"/>
    <w:rsid w:val="5583158B"/>
    <w:rsid w:val="56C83AE7"/>
    <w:rsid w:val="57A301D5"/>
    <w:rsid w:val="57B91DA5"/>
    <w:rsid w:val="5878114F"/>
    <w:rsid w:val="5A56EC28"/>
    <w:rsid w:val="5A69246A"/>
    <w:rsid w:val="5C643EC4"/>
    <w:rsid w:val="63DB7B96"/>
    <w:rsid w:val="67E20393"/>
    <w:rsid w:val="6922313D"/>
    <w:rsid w:val="6CD50841"/>
    <w:rsid w:val="6EF72976"/>
    <w:rsid w:val="77EC18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26"/>
    <w:qFormat/>
    <w:locked/>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cs="Times New Roman"/>
      <w:kern w:val="0"/>
      <w:sz w:val="20"/>
      <w:szCs w:val="20"/>
    </w:rPr>
  </w:style>
  <w:style w:type="paragraph" w:styleId="4">
    <w:name w:val="Plain Text"/>
    <w:basedOn w:val="1"/>
    <w:link w:val="17"/>
    <w:qFormat/>
    <w:uiPriority w:val="99"/>
    <w:rPr>
      <w:rFonts w:ascii="宋体" w:hAnsi="Courier New" w:cs="Times New Roman"/>
      <w:kern w:val="0"/>
    </w:rPr>
  </w:style>
  <w:style w:type="paragraph" w:styleId="5">
    <w:name w:val="Date"/>
    <w:basedOn w:val="1"/>
    <w:next w:val="1"/>
    <w:link w:val="20"/>
    <w:semiHidden/>
    <w:qFormat/>
    <w:uiPriority w:val="99"/>
    <w:pPr>
      <w:ind w:left="100" w:leftChars="2500"/>
    </w:pPr>
    <w:rPr>
      <w:rFonts w:cs="Times New Roman"/>
      <w:kern w:val="0"/>
      <w:sz w:val="20"/>
      <w:szCs w:val="20"/>
    </w:rPr>
  </w:style>
  <w:style w:type="paragraph" w:styleId="6">
    <w:name w:val="Balloon Text"/>
    <w:basedOn w:val="1"/>
    <w:link w:val="25"/>
    <w:semiHidden/>
    <w:qFormat/>
    <w:uiPriority w:val="99"/>
    <w:rPr>
      <w:rFonts w:cs="Times New Roman"/>
      <w:kern w:val="0"/>
      <w:sz w:val="2"/>
      <w:szCs w:val="2"/>
    </w:rPr>
  </w:style>
  <w:style w:type="paragraph" w:styleId="7">
    <w:name w:val="footer"/>
    <w:basedOn w:val="1"/>
    <w:link w:val="19"/>
    <w:qFormat/>
    <w:uiPriority w:val="99"/>
    <w:pPr>
      <w:tabs>
        <w:tab w:val="center" w:pos="4153"/>
        <w:tab w:val="right" w:pos="8306"/>
      </w:tabs>
      <w:snapToGrid w:val="0"/>
      <w:jc w:val="left"/>
    </w:pPr>
    <w:rPr>
      <w:rFonts w:cs="Times New Roman"/>
      <w:kern w:val="0"/>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4"/>
    <w:semiHidden/>
    <w:qFormat/>
    <w:uiPriority w:val="99"/>
    <w:rPr>
      <w:b/>
      <w:bCs/>
    </w:rPr>
  </w:style>
  <w:style w:type="character" w:styleId="13">
    <w:name w:val="Strong"/>
    <w:basedOn w:val="12"/>
    <w:qFormat/>
    <w:locked/>
    <w:uiPriority w:val="22"/>
    <w:rPr>
      <w:b/>
      <w:bCs/>
    </w:rPr>
  </w:style>
  <w:style w:type="character" w:styleId="14">
    <w:name w:val="Hyperlink"/>
    <w:qFormat/>
    <w:uiPriority w:val="99"/>
    <w:rPr>
      <w:rFonts w:cs="Times New Roman"/>
      <w:color w:val="0000FF"/>
      <w:u w:val="single"/>
    </w:rPr>
  </w:style>
  <w:style w:type="character" w:styleId="15">
    <w:name w:val="annotation reference"/>
    <w:semiHidden/>
    <w:qFormat/>
    <w:uiPriority w:val="99"/>
    <w:rPr>
      <w:rFonts w:cs="Times New Roman"/>
      <w:sz w:val="21"/>
      <w:szCs w:val="21"/>
    </w:rPr>
  </w:style>
  <w:style w:type="paragraph" w:styleId="16">
    <w:name w:val="List Paragraph"/>
    <w:basedOn w:val="1"/>
    <w:qFormat/>
    <w:uiPriority w:val="99"/>
    <w:pPr>
      <w:ind w:firstLine="420" w:firstLineChars="200"/>
    </w:pPr>
  </w:style>
  <w:style w:type="character" w:customStyle="1" w:styleId="17">
    <w:name w:val="纯文本 Char"/>
    <w:link w:val="4"/>
    <w:qFormat/>
    <w:locked/>
    <w:uiPriority w:val="99"/>
    <w:rPr>
      <w:rFonts w:ascii="宋体" w:hAnsi="Courier New" w:eastAsia="宋体" w:cs="宋体"/>
      <w:sz w:val="21"/>
      <w:szCs w:val="21"/>
    </w:rPr>
  </w:style>
  <w:style w:type="character" w:customStyle="1" w:styleId="18">
    <w:name w:val="页眉 Char"/>
    <w:link w:val="8"/>
    <w:qFormat/>
    <w:locked/>
    <w:uiPriority w:val="99"/>
    <w:rPr>
      <w:rFonts w:cs="Times New Roman"/>
      <w:sz w:val="18"/>
      <w:szCs w:val="18"/>
    </w:rPr>
  </w:style>
  <w:style w:type="character" w:customStyle="1" w:styleId="19">
    <w:name w:val="页脚 Char"/>
    <w:link w:val="7"/>
    <w:qFormat/>
    <w:locked/>
    <w:uiPriority w:val="99"/>
    <w:rPr>
      <w:rFonts w:cs="Times New Roman"/>
      <w:sz w:val="18"/>
      <w:szCs w:val="18"/>
    </w:rPr>
  </w:style>
  <w:style w:type="character" w:customStyle="1" w:styleId="20">
    <w:name w:val="日期 Char"/>
    <w:link w:val="5"/>
    <w:semiHidden/>
    <w:qFormat/>
    <w:locked/>
    <w:uiPriority w:val="99"/>
    <w:rPr>
      <w:rFonts w:cs="Times New Roman"/>
    </w:rPr>
  </w:style>
  <w:style w:type="paragraph" w:customStyle="1" w:styleId="21">
    <w:name w:val="列出段落1"/>
    <w:basedOn w:val="1"/>
    <w:qFormat/>
    <w:uiPriority w:val="99"/>
    <w:pPr>
      <w:ind w:firstLine="420" w:firstLineChars="200"/>
    </w:pPr>
  </w:style>
  <w:style w:type="character" w:customStyle="1" w:styleId="22">
    <w:name w:val="Char Char2"/>
    <w:qFormat/>
    <w:uiPriority w:val="99"/>
    <w:rPr>
      <w:rFonts w:ascii="宋体" w:hAnsi="Courier New" w:eastAsia="宋体" w:cs="宋体"/>
      <w:kern w:val="2"/>
      <w:sz w:val="21"/>
      <w:szCs w:val="21"/>
      <w:lang w:val="en-US" w:eastAsia="zh-CN"/>
    </w:rPr>
  </w:style>
  <w:style w:type="character" w:customStyle="1" w:styleId="23">
    <w:name w:val="批注文字 Char"/>
    <w:link w:val="3"/>
    <w:semiHidden/>
    <w:qFormat/>
    <w:locked/>
    <w:uiPriority w:val="99"/>
    <w:rPr>
      <w:rFonts w:cs="Times New Roman"/>
    </w:rPr>
  </w:style>
  <w:style w:type="character" w:customStyle="1" w:styleId="24">
    <w:name w:val="批注主题 Char"/>
    <w:link w:val="10"/>
    <w:semiHidden/>
    <w:qFormat/>
    <w:locked/>
    <w:uiPriority w:val="99"/>
    <w:rPr>
      <w:rFonts w:cs="Times New Roman"/>
      <w:b/>
      <w:bCs/>
    </w:rPr>
  </w:style>
  <w:style w:type="character" w:customStyle="1" w:styleId="25">
    <w:name w:val="批注框文本 Char"/>
    <w:link w:val="6"/>
    <w:semiHidden/>
    <w:qFormat/>
    <w:locked/>
    <w:uiPriority w:val="99"/>
    <w:rPr>
      <w:rFonts w:cs="Times New Roman"/>
      <w:sz w:val="2"/>
      <w:szCs w:val="2"/>
    </w:rPr>
  </w:style>
  <w:style w:type="character" w:customStyle="1" w:styleId="26">
    <w:name w:val="标题 2 Char"/>
    <w:basedOn w:val="12"/>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1781</Words>
  <Characters>1865</Characters>
  <Lines>14</Lines>
  <Paragraphs>4</Paragraphs>
  <TotalTime>297</TotalTime>
  <ScaleCrop>false</ScaleCrop>
  <LinksUpToDate>false</LinksUpToDate>
  <CharactersWithSpaces>1874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2023-09-11T08:09:00Z</dcterms:created>
  <dc:creator>Lenovo User</dc:creator>
  <cp:lastModifiedBy>阿拉军旗</cp:lastModifiedBy>
  <cp:lastPrinted>2024-09-23T00:58:00Z</cp:lastPrinted>
  <dcterms:modified xsi:type="dcterms:W3CDTF">2024-10-08T08:18:03Z</dcterms:modified>
  <dc:title>关于制作专业型硕士研究生招生简章的通知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F5AAE9DBDEA3484A562DFC6461FB184D</vt:lpwstr>
  </property>
</Properties>
</file>