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color w:val="000000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附件6：</w:t>
      </w:r>
    </w:p>
    <w:p>
      <w:pPr>
        <w:spacing w:line="500" w:lineRule="exact"/>
        <w:ind w:firstLine="2520" w:firstLineChars="700"/>
        <w:rPr>
          <w:rFonts w:hint="eastAsia" w:ascii="方正小标宋简体" w:hAnsi="宋体" w:eastAsia="方正小标宋简体"/>
          <w:color w:val="000000"/>
          <w:sz w:val="36"/>
          <w:szCs w:val="30"/>
        </w:rPr>
      </w:pPr>
      <w:r>
        <w:rPr>
          <w:rFonts w:hint="eastAsia" w:ascii="方正小标宋简体" w:hAnsi="宋体" w:eastAsia="方正小标宋简体"/>
          <w:color w:val="000000"/>
          <w:sz w:val="36"/>
          <w:szCs w:val="30"/>
        </w:rPr>
        <w:t>中国地质大学（北京）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0"/>
        </w:rPr>
      </w:pPr>
      <w:r>
        <w:rPr>
          <w:rFonts w:hint="eastAsia" w:ascii="方正小标宋简体" w:hAnsi="宋体" w:eastAsia="方正小标宋简体"/>
          <w:color w:val="000000"/>
          <w:sz w:val="36"/>
          <w:szCs w:val="30"/>
        </w:rPr>
        <w:t>关于招收非全日制硕士研究生的相关事宜</w:t>
      </w:r>
    </w:p>
    <w:p>
      <w:pPr>
        <w:spacing w:line="520" w:lineRule="atLeast"/>
        <w:ind w:firstLine="560" w:firstLineChars="200"/>
        <w:rPr>
          <w:rFonts w:hint="eastAsia" w:ascii="方正小标宋简体" w:hAnsi="仿宋" w:eastAsia="方正小标宋简体"/>
          <w:color w:val="000000"/>
          <w:szCs w:val="28"/>
        </w:rPr>
      </w:pPr>
    </w:p>
    <w:p>
      <w:pPr>
        <w:spacing w:line="59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根据《教育部办公厅关于统筹全日制和非全日制研究生管理工作的通知》（教研〔2016〕2号）文件精神，今年我校非全日制只招收定向生。</w:t>
      </w:r>
    </w:p>
    <w:p>
      <w:pPr>
        <w:spacing w:line="590" w:lineRule="exact"/>
        <w:ind w:firstLine="600" w:firstLineChars="200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非全日制研究生相关事宜如下：</w:t>
      </w:r>
    </w:p>
    <w:p>
      <w:pPr>
        <w:spacing w:line="59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1、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培养类型：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非全日制定向；</w:t>
      </w:r>
    </w:p>
    <w:p>
      <w:pPr>
        <w:spacing w:line="590" w:lineRule="exact"/>
        <w:ind w:firstLine="600" w:firstLineChars="200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2、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学位类型：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专业学位硕士研究生；</w:t>
      </w:r>
    </w:p>
    <w:p>
      <w:pPr>
        <w:spacing w:line="590" w:lineRule="exact"/>
        <w:ind w:firstLine="600" w:firstLineChars="200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3、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学制及学习年限：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学制3年，学习年限3-5年；</w:t>
      </w:r>
      <w:bookmarkStart w:id="0" w:name="_GoBack"/>
      <w:bookmarkEnd w:id="0"/>
    </w:p>
    <w:p>
      <w:pPr>
        <w:spacing w:line="590" w:lineRule="exact"/>
        <w:ind w:firstLine="600" w:firstLineChars="200"/>
        <w:rPr>
          <w:rFonts w:hint="eastAsia"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4、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学费标准：</w:t>
      </w:r>
    </w:p>
    <w:tbl>
      <w:tblPr>
        <w:tblStyle w:val="3"/>
        <w:tblW w:w="46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82"/>
        <w:gridCol w:w="1039"/>
        <w:gridCol w:w="1928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4" w:type="pc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sz w:val="30"/>
                <w:szCs w:val="30"/>
              </w:rPr>
              <w:t>学习方式</w:t>
            </w:r>
          </w:p>
        </w:tc>
        <w:tc>
          <w:tcPr>
            <w:tcW w:w="822" w:type="pc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sz w:val="30"/>
                <w:szCs w:val="30"/>
              </w:rPr>
              <w:t>学位类别</w:t>
            </w:r>
          </w:p>
        </w:tc>
        <w:tc>
          <w:tcPr>
            <w:tcW w:w="1645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sz w:val="30"/>
                <w:szCs w:val="30"/>
              </w:rPr>
              <w:t>专业信息</w:t>
            </w:r>
          </w:p>
        </w:tc>
        <w:tc>
          <w:tcPr>
            <w:tcW w:w="1717" w:type="pc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sz w:val="30"/>
                <w:szCs w:val="30"/>
              </w:rPr>
              <w:t>学费/元</w:t>
            </w:r>
            <w:r>
              <w:rPr>
                <w:rFonts w:ascii="仿宋_GB2312" w:hAnsi="仿宋" w:eastAsia="仿宋_GB2312" w:cs="Times New Roman"/>
                <w:b/>
                <w:color w:val="000000"/>
                <w:sz w:val="30"/>
                <w:szCs w:val="30"/>
              </w:rPr>
              <w:t>/</w:t>
            </w:r>
            <w:r>
              <w:rPr>
                <w:rFonts w:hint="eastAsia" w:ascii="仿宋_GB2312" w:hAnsi="仿宋" w:eastAsia="仿宋_GB2312" w:cs="Times New Roman"/>
                <w:b/>
                <w:color w:val="000000"/>
                <w:sz w:val="30"/>
                <w:szCs w:val="3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14" w:type="pct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非全日制</w:t>
            </w:r>
          </w:p>
        </w:tc>
        <w:tc>
          <w:tcPr>
            <w:tcW w:w="822" w:type="pct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专业学位</w:t>
            </w:r>
          </w:p>
        </w:tc>
        <w:tc>
          <w:tcPr>
            <w:tcW w:w="1645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  <w:t>MBA</w:t>
            </w:r>
          </w:p>
        </w:tc>
        <w:tc>
          <w:tcPr>
            <w:tcW w:w="1717" w:type="pc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  <w:t>30000</w:t>
            </w: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或</w:t>
            </w:r>
            <w:r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  <w:t>36000(</w:t>
            </w: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珠宝商务方向</w:t>
            </w:r>
            <w:r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4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22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45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金融</w:t>
            </w:r>
          </w:p>
        </w:tc>
        <w:tc>
          <w:tcPr>
            <w:tcW w:w="1717" w:type="pc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  <w:t>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4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22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45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会计</w:t>
            </w:r>
          </w:p>
        </w:tc>
        <w:tc>
          <w:tcPr>
            <w:tcW w:w="1717" w:type="pc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  <w:t>39000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4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22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45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公共管理</w:t>
            </w:r>
          </w:p>
        </w:tc>
        <w:tc>
          <w:tcPr>
            <w:tcW w:w="1717" w:type="pc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814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22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45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法律（法学）</w:t>
            </w:r>
          </w:p>
        </w:tc>
        <w:tc>
          <w:tcPr>
            <w:tcW w:w="1717" w:type="pc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4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22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45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应用统计</w:t>
            </w:r>
          </w:p>
        </w:tc>
        <w:tc>
          <w:tcPr>
            <w:tcW w:w="1717" w:type="pc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  <w:t>16000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814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22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45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体育</w:t>
            </w:r>
          </w:p>
        </w:tc>
        <w:tc>
          <w:tcPr>
            <w:tcW w:w="1717" w:type="pc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  <w:t>16000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  <w:jc w:val="center"/>
        </w:trPr>
        <w:tc>
          <w:tcPr>
            <w:tcW w:w="814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22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pct"/>
            <w:vMerge w:val="restart"/>
            <w:noWrap w:val="0"/>
            <w:vAlign w:val="center"/>
          </w:tcPr>
          <w:p>
            <w:pPr>
              <w:pStyle w:val="2"/>
              <w:adjustRightInd w:val="0"/>
              <w:snapToGrid w:val="0"/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信息工程学 院</w:t>
            </w:r>
          </w:p>
        </w:tc>
        <w:tc>
          <w:tcPr>
            <w:tcW w:w="1068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计算机技术</w:t>
            </w:r>
          </w:p>
        </w:tc>
        <w:tc>
          <w:tcPr>
            <w:tcW w:w="1717" w:type="pct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  <w:t>16000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4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22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pct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068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软件工程</w:t>
            </w:r>
          </w:p>
        </w:tc>
        <w:tc>
          <w:tcPr>
            <w:tcW w:w="1717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14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22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576" w:type="pct"/>
            <w:vMerge w:val="continue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068" w:type="pct"/>
            <w:noWrap w:val="0"/>
            <w:vAlign w:val="center"/>
          </w:tcPr>
          <w:p>
            <w:pPr>
              <w:pStyle w:val="2"/>
              <w:adjustRightInd w:val="0"/>
              <w:snapToGrid w:val="0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测绘工程</w:t>
            </w:r>
          </w:p>
        </w:tc>
        <w:tc>
          <w:tcPr>
            <w:tcW w:w="1717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4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22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1645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其余专业</w:t>
            </w:r>
          </w:p>
        </w:tc>
        <w:tc>
          <w:tcPr>
            <w:tcW w:w="1717" w:type="pc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4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822" w:type="pct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学术学位</w:t>
            </w:r>
          </w:p>
        </w:tc>
        <w:tc>
          <w:tcPr>
            <w:tcW w:w="1645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工商管理</w:t>
            </w:r>
          </w:p>
        </w:tc>
        <w:tc>
          <w:tcPr>
            <w:tcW w:w="1717" w:type="pct"/>
            <w:vMerge w:val="restart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  <w:t>25000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4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汉仪中等线简" w:hAnsi="Times New Roman" w:eastAsia="汉仪中等线简" w:cs="Times New Roman"/>
                <w:sz w:val="28"/>
                <w:szCs w:val="28"/>
              </w:rPr>
            </w:pPr>
          </w:p>
        </w:tc>
        <w:tc>
          <w:tcPr>
            <w:tcW w:w="822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汉仪中等线简" w:hAnsi="Times New Roman" w:eastAsia="汉仪中等线简" w:cs="Times New Roman"/>
                <w:sz w:val="28"/>
                <w:szCs w:val="28"/>
              </w:rPr>
            </w:pPr>
          </w:p>
        </w:tc>
        <w:tc>
          <w:tcPr>
            <w:tcW w:w="1645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公共管理</w:t>
            </w:r>
          </w:p>
        </w:tc>
        <w:tc>
          <w:tcPr>
            <w:tcW w:w="1717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4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汉仪中等线简" w:hAnsi="Times New Roman" w:eastAsia="汉仪中等线简" w:cs="Times New Roman"/>
                <w:sz w:val="28"/>
                <w:szCs w:val="28"/>
              </w:rPr>
            </w:pPr>
          </w:p>
        </w:tc>
        <w:tc>
          <w:tcPr>
            <w:tcW w:w="822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汉仪中等线简" w:hAnsi="Times New Roman" w:eastAsia="汉仪中等线简" w:cs="Times New Roman"/>
                <w:sz w:val="28"/>
                <w:szCs w:val="28"/>
              </w:rPr>
            </w:pPr>
          </w:p>
        </w:tc>
        <w:tc>
          <w:tcPr>
            <w:tcW w:w="1645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马克思主义理论</w:t>
            </w:r>
          </w:p>
        </w:tc>
        <w:tc>
          <w:tcPr>
            <w:tcW w:w="1717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汉仪中等线简" w:hAnsi="Times New Roman" w:eastAsia="汉仪中等线简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14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汉仪中等线简" w:hAnsi="Times New Roman" w:eastAsia="汉仪中等线简" w:cs="Times New Roman"/>
                <w:sz w:val="28"/>
                <w:szCs w:val="28"/>
              </w:rPr>
            </w:pPr>
          </w:p>
        </w:tc>
        <w:tc>
          <w:tcPr>
            <w:tcW w:w="822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汉仪中等线简" w:hAnsi="Times New Roman" w:eastAsia="汉仪中等线简" w:cs="Times New Roman"/>
                <w:sz w:val="28"/>
                <w:szCs w:val="28"/>
              </w:rPr>
            </w:pPr>
          </w:p>
        </w:tc>
        <w:tc>
          <w:tcPr>
            <w:tcW w:w="1645" w:type="pct"/>
            <w:gridSpan w:val="2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仿宋_GB2312" w:hAnsi="仿宋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0"/>
                <w:szCs w:val="30"/>
              </w:rPr>
              <w:t>心理学</w:t>
            </w:r>
          </w:p>
        </w:tc>
        <w:tc>
          <w:tcPr>
            <w:tcW w:w="1717" w:type="pct"/>
            <w:vMerge w:val="continue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ascii="汉仪中等线简" w:hAnsi="Times New Roman" w:eastAsia="汉仪中等线简" w:cs="Times New Roman"/>
                <w:sz w:val="28"/>
                <w:szCs w:val="28"/>
              </w:rPr>
            </w:pPr>
          </w:p>
        </w:tc>
      </w:tr>
    </w:tbl>
    <w:p>
      <w:pPr>
        <w:spacing w:line="590" w:lineRule="exact"/>
        <w:ind w:firstLine="600" w:firstLineChars="200"/>
        <w:rPr>
          <w:rFonts w:ascii="仿宋_GB2312" w:hAnsi="仿宋" w:eastAsia="仿宋_GB2312"/>
          <w:color w:val="000000"/>
          <w:sz w:val="30"/>
          <w:szCs w:val="30"/>
        </w:rPr>
      </w:pPr>
    </w:p>
    <w:p>
      <w:pPr>
        <w:spacing w:line="590" w:lineRule="exact"/>
        <w:ind w:firstLine="600" w:firstLineChars="200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5、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住宿及待遇：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学校不解决非全日制研究生的住宿条件；在读期间不享受国家助学金、国家奖学金、学业奖学金和各类津贴补贴，其他奖助政策依据学校相关规定执行。</w:t>
      </w:r>
    </w:p>
    <w:p>
      <w:pPr>
        <w:spacing w:line="590" w:lineRule="exact"/>
        <w:ind w:firstLine="567" w:firstLineChars="189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6、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户籍与档案管理：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学校不接受非全日制定向研究生的户籍及人事档案等材料。</w:t>
      </w:r>
    </w:p>
    <w:p>
      <w:pPr>
        <w:spacing w:line="570" w:lineRule="exact"/>
        <w:ind w:firstLine="600" w:firstLineChars="200"/>
      </w:pPr>
      <w:r>
        <w:rPr>
          <w:rFonts w:hint="eastAsia" w:ascii="仿宋_GB2312" w:hAnsi="仿宋" w:eastAsia="仿宋_GB2312"/>
          <w:color w:val="000000"/>
          <w:sz w:val="30"/>
          <w:szCs w:val="30"/>
        </w:rPr>
        <w:t>7、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毕业证书与学位证书：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按规定完成学业，成绩合格，发放硕士研究生的学历证书（标注非全日制学习方式）；学术水平达到相关要求，授予硕士专业学位。</w:t>
      </w:r>
    </w:p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等线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NTk0ODk3YzlhMTRhODAxNjE2OWQ3ZmFlNTEwNjAifQ=="/>
  </w:docVars>
  <w:rsids>
    <w:rsidRoot w:val="46E849FE"/>
    <w:rsid w:val="46E8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99"/>
    <w:pPr>
      <w:tabs>
        <w:tab w:val="clear" w:pos="0"/>
      </w:tabs>
      <w:adjustRightInd/>
      <w:snapToGrid/>
      <w:spacing w:line="240" w:lineRule="auto"/>
    </w:pPr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2023-03-17T09:25:00Z</dcterms:created>
  <dc:creator>芦俊</dc:creator>
  <cp:lastModifiedBy>芦俊</cp:lastModifiedBy>
  <dcterms:modified xsi:type="dcterms:W3CDTF">2023-03-17T09:26:46Z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5157B26F8A0A4F0DB6380B20C0F97896</vt:lpwstr>
  </property>
</Properties>
</file>