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rPr>
        <w:t>《</w:t>
      </w:r>
      <w:r>
        <w:rPr>
          <w:rFonts w:hint="eastAsia" w:ascii="方正小标宋简体" w:hAnsi="方正小标宋简体" w:eastAsia="方正小标宋简体" w:cs="方正小标宋简体"/>
          <w:b w:val="0"/>
          <w:bCs w:val="0"/>
          <w:sz w:val="40"/>
          <w:szCs w:val="40"/>
        </w:rPr>
        <w:t>税务专业基础</w:t>
      </w:r>
      <w:r>
        <w:rPr>
          <w:rFonts w:hint="eastAsia" w:ascii="方正小标宋简体" w:hAnsi="方正小标宋简体" w:eastAsia="方正小标宋简体" w:cs="方正小标宋简体"/>
          <w:b w:val="0"/>
          <w:bCs w:val="0"/>
          <w:sz w:val="40"/>
          <w:szCs w:val="40"/>
        </w:rPr>
        <w:t>》</w:t>
      </w:r>
      <w:r>
        <w:rPr>
          <w:rFonts w:hint="eastAsia" w:ascii="方正小标宋简体" w:hAnsi="方正小标宋简体" w:eastAsia="方正小标宋简体" w:cs="方正小标宋简体"/>
          <w:b w:val="0"/>
          <w:bCs w:val="0"/>
          <w:sz w:val="40"/>
          <w:szCs w:val="40"/>
        </w:rPr>
        <w:t>考试大纲</w:t>
      </w:r>
    </w:p>
    <w:p>
      <w:pPr>
        <w:widowControl/>
        <w:spacing w:line="384" w:lineRule="atLeast"/>
        <w:ind w:firstLine="480"/>
        <w:rPr>
          <w:rFonts w:hint="eastAsia" w:ascii="宋体" w:hAnsi="宋体"/>
          <w:color w:val="000000"/>
          <w:sz w:val="28"/>
          <w:szCs w:val="28"/>
        </w:rPr>
      </w:pPr>
    </w:p>
    <w:p>
      <w:pPr>
        <w:widowControl/>
        <w:spacing w:line="360" w:lineRule="auto"/>
        <w:ind w:firstLine="48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为选拔优秀本科毕业生攻读兰州财经大学税务硕士专业学位研究生，根据全国税务专业学位教育指导委员会和兰州财经大学研究生院关于税务专业硕士研究生入学考试的要求，特制订本考试大纲。</w:t>
      </w:r>
    </w:p>
    <w:p>
      <w:pPr>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一、考试性质</w:t>
      </w:r>
    </w:p>
    <w:p>
      <w:pPr>
        <w:spacing w:line="360" w:lineRule="auto"/>
        <w:ind w:firstLine="420" w:firstLineChars="150"/>
        <w:rPr>
          <w:rFonts w:hint="eastAsia" w:ascii="仿宋_GB2312" w:hAnsi="仿宋_GB2312" w:eastAsia="仿宋_GB2312" w:cs="仿宋_GB2312"/>
          <w:kern w:val="0"/>
          <w:sz w:val="28"/>
          <w:szCs w:val="28"/>
        </w:rPr>
      </w:pPr>
      <w:r>
        <w:rPr>
          <w:rFonts w:hint="eastAsia" w:ascii="仿宋_GB2312" w:hAnsi="仿宋_GB2312" w:eastAsia="仿宋_GB2312" w:cs="仿宋_GB2312"/>
          <w:color w:val="000000"/>
          <w:sz w:val="28"/>
          <w:szCs w:val="28"/>
        </w:rPr>
        <w:t>《税务专业基础》是全国税务专业硕士入学初试考试科目。招生培养单位根据考生参加本科目的成绩和其他三门科目的成绩总分决定参加复试的考生。</w:t>
      </w:r>
    </w:p>
    <w:p>
      <w:pPr>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二、考试目标</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本考试大纲力求反映税务硕士专业学位的特点，科学准确地测评考生税收学的基本素质和综合能力，具体考察考生对税收基础理论、中国税收制度、税收管理制度及国际税收理论的掌握与运用，</w:t>
      </w:r>
      <w:r>
        <w:rPr>
          <w:rFonts w:hint="eastAsia" w:ascii="仿宋_GB2312" w:hAnsi="仿宋_GB2312" w:eastAsia="仿宋_GB2312" w:cs="仿宋_GB2312"/>
          <w:sz w:val="28"/>
          <w:szCs w:val="28"/>
        </w:rPr>
        <w:t>为国家培养具有良好职业道德和职业素养、具有较强分析问题与解决问题能力的高层次、应用型、复合型的税务专业人才。</w:t>
      </w:r>
    </w:p>
    <w:p>
      <w:pPr>
        <w:spacing w:line="360" w:lineRule="auto"/>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本考试旨在三个层次上测试考生对</w:t>
      </w:r>
      <w:r>
        <w:rPr>
          <w:rFonts w:hint="eastAsia" w:ascii="仿宋_GB2312" w:hAnsi="仿宋_GB2312" w:eastAsia="仿宋_GB2312" w:cs="仿宋_GB2312"/>
          <w:kern w:val="0"/>
          <w:sz w:val="28"/>
          <w:szCs w:val="28"/>
        </w:rPr>
        <w:t>税收基础理论、中国税收制度、税收管理制度及国际税收理论</w:t>
      </w:r>
      <w:r>
        <w:rPr>
          <w:rFonts w:hint="eastAsia" w:ascii="仿宋_GB2312" w:hAnsi="仿宋_GB2312" w:eastAsia="仿宋_GB2312" w:cs="仿宋_GB2312"/>
          <w:sz w:val="28"/>
          <w:szCs w:val="28"/>
        </w:rPr>
        <w:t>等知识掌握的程度和运用能力。三个层次的基本要求分别为：</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1、熟悉记忆：对税收理论与制度规定的记忆方面的考核。</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2、分析判断：用税收基本理论与制度规定来分析判断某一具体观点和问题；</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3、综合运用：运用所学的税收理论和制度规定来综合分析税收计算案例和具体实践问题。</w:t>
      </w:r>
    </w:p>
    <w:p>
      <w:pPr>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三、考试形式和试卷结构 </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1、试卷满分及考试时间</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本试卷满分为150分，考试时间为180分钟。</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2、答题方式 </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答题方式为闭卷、笔试。</w:t>
      </w:r>
      <w:r>
        <w:rPr>
          <w:rFonts w:hint="eastAsia" w:ascii="仿宋_GB2312" w:hAnsi="仿宋_GB2312" w:eastAsia="仿宋_GB2312" w:cs="仿宋_GB2312"/>
          <w:kern w:val="0"/>
          <w:sz w:val="28"/>
          <w:szCs w:val="28"/>
        </w:rPr>
        <w:t>考生不得携</w:t>
      </w:r>
      <w:r>
        <w:rPr>
          <w:rFonts w:hint="eastAsia" w:ascii="仿宋_GB2312" w:hAnsi="仿宋_GB2312" w:eastAsia="仿宋_GB2312" w:cs="仿宋_GB2312"/>
          <w:sz w:val="28"/>
          <w:szCs w:val="28"/>
        </w:rPr>
        <w:t>带具有存储功能的计算器。</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3、试卷结构</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税收基础理论考核的比例为30%，分值为45分；</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中国税收制度考核的比例为40%，分值为60分；</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税收管理制度考核的比例为20%，分值为30分；</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国际税收理论考核的比例为1</w:t>
      </w:r>
      <w:bookmarkStart w:id="0" w:name="_GoBack"/>
      <w:bookmarkEnd w:id="0"/>
      <w:r>
        <w:rPr>
          <w:rFonts w:hint="eastAsia" w:ascii="仿宋_GB2312" w:hAnsi="仿宋_GB2312" w:eastAsia="仿宋_GB2312" w:cs="仿宋_GB2312"/>
          <w:sz w:val="28"/>
          <w:szCs w:val="28"/>
        </w:rPr>
        <w:t>0%，分值为15分。</w:t>
      </w:r>
    </w:p>
    <w:p>
      <w:pPr>
        <w:numPr>
          <w:ilvl w:val="0"/>
          <w:numId w:val="1"/>
        </w:num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考试题型、题量和分值 </w:t>
      </w:r>
    </w:p>
    <w:p>
      <w:pPr>
        <w:numPr>
          <w:ilvl w:val="0"/>
          <w:numId w:val="2"/>
        </w:num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单项选择题，10小题，每小题2分，共20分；</w:t>
      </w:r>
    </w:p>
    <w:p>
      <w:pPr>
        <w:numPr>
          <w:ilvl w:val="0"/>
          <w:numId w:val="2"/>
        </w:num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多项选择题，5小题，每题4分，共20分；</w:t>
      </w:r>
    </w:p>
    <w:p>
      <w:pPr>
        <w:numPr>
          <w:ilvl w:val="0"/>
          <w:numId w:val="2"/>
        </w:num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计算题，5小题，每小题10分，共50分；</w:t>
      </w:r>
    </w:p>
    <w:p>
      <w:pPr>
        <w:numPr>
          <w:ilvl w:val="0"/>
          <w:numId w:val="2"/>
        </w:num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综合分析题，2小题，每小题15分，共30分；</w:t>
      </w:r>
    </w:p>
    <w:p>
      <w:pPr>
        <w:numPr>
          <w:ilvl w:val="0"/>
          <w:numId w:val="2"/>
        </w:num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论述题，2小题，每小题15分，共30分。</w:t>
      </w:r>
    </w:p>
    <w:p>
      <w:pPr>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四、考试内容</w:t>
      </w:r>
    </w:p>
    <w:p>
      <w:pPr>
        <w:spacing w:line="360" w:lineRule="auto"/>
        <w:ind w:firstLine="568" w:firstLineChars="202"/>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（一）税收基础理论</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1、公共产品与政府税收。公共产品的含义和类型；税收的概念与本质。</w:t>
      </w:r>
    </w:p>
    <w:p>
      <w:pPr>
        <w:spacing w:line="360" w:lineRule="auto"/>
        <w:ind w:firstLine="565" w:firstLineChars="20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2、税收作用机制。税收的宏观作用机制；税收的微观作用机制。</w:t>
      </w:r>
    </w:p>
    <w:p>
      <w:pPr>
        <w:spacing w:line="360" w:lineRule="auto"/>
        <w:ind w:firstLine="565" w:firstLineChars="20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3、税收原则。税收原则主要观点；古代税收原则；近代税收原则；现代税收原则。</w:t>
      </w:r>
    </w:p>
    <w:p>
      <w:pPr>
        <w:spacing w:line="360" w:lineRule="auto"/>
        <w:ind w:firstLine="565" w:firstLineChars="20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4、税收政策。税收政策的目标与手段；税收政策主体；税收政策环境；税收政策与财政政策的协调。</w:t>
      </w:r>
    </w:p>
    <w:p>
      <w:pPr>
        <w:spacing w:line="360" w:lineRule="auto"/>
        <w:ind w:firstLine="565" w:firstLineChars="20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5、税收负担。税负的概念与分类；影响税收负担的因素；税收负担衡量指标；税负转嫁与归宿。税收效应的概念和分类；税收的收入效应和替代效应。</w:t>
      </w:r>
    </w:p>
    <w:p>
      <w:pPr>
        <w:spacing w:line="360" w:lineRule="auto"/>
        <w:ind w:firstLine="565" w:firstLineChars="20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6、税制结构。税制分类与税制结构；税制结构的国际比较；税制结构优化。</w:t>
      </w:r>
    </w:p>
    <w:p>
      <w:pPr>
        <w:spacing w:line="360" w:lineRule="auto"/>
        <w:ind w:firstLine="565" w:firstLineChars="20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7、货物劳务税。货物劳务税的经济意义与特征；我国货物劳务税布局；货物劳务税税制要素设计；货物劳务税的发展趋势。</w:t>
      </w:r>
    </w:p>
    <w:p>
      <w:pPr>
        <w:spacing w:line="360" w:lineRule="auto"/>
        <w:ind w:firstLine="565" w:firstLineChars="20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8、所得税。所得税的经济意义与特征；法人所得税税制要素设计；个人所得税税制要素设计；所得税的发展趋势。</w:t>
      </w:r>
    </w:p>
    <w:p>
      <w:pPr>
        <w:spacing w:line="360" w:lineRule="auto"/>
        <w:ind w:firstLine="562" w:firstLineChars="200"/>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（二）中国税收制度</w:t>
      </w:r>
    </w:p>
    <w:p>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1、税制要素及税收分类。纳税人；征税对象；税率；纳税环节；纳税期限；税收优惠；中国税收制度框架。</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2、货物劳务税基本理论及制度规定。增值税基本理论及制度规定；消费税基本理论及制度规定；关税基本理论及制度规定。</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3、所得税基本理论及制度规定。企业所得税基本理论及制度规定；个人所得税基本理论及制度规定。</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财产税基本理论及制度规定。财产税的性质及特点；一般财产税和特别财产税；资源税、土地增值税、房产税、车船税、车辆购置税、城镇土地使用税、印花税、耕地占用税、环境保护税、烟叶税、城市维护建设税、教育费附加等基本理论与制度规定。</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5、中国税制理论前沿和当前税收改革热点问题。</w:t>
      </w:r>
    </w:p>
    <w:p>
      <w:pPr>
        <w:spacing w:line="360" w:lineRule="auto"/>
        <w:ind w:firstLine="562" w:firstLineChars="200"/>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（三）税收管理制度</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1、税收征管概论。税收征管的概念、目的与原则，税收征管制度的特点等。</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2、税收征管制度。税务管理制度；税款征收制度；税务稽查制度；税收风险管理；税务行政复议与税务行政诉讼制度；税务争议处理制度等。</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3、纳税服务。纳税人的权利和义务；纳税人权利保护；纳税服务机构设置；纳税服务的内容等。</w:t>
      </w:r>
    </w:p>
    <w:p>
      <w:pPr>
        <w:spacing w:line="360" w:lineRule="auto"/>
        <w:ind w:firstLine="565" w:firstLineChars="201"/>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（四）国际税收理论</w:t>
      </w:r>
    </w:p>
    <w:p>
      <w:pPr>
        <w:spacing w:line="360" w:lineRule="auto"/>
        <w:ind w:firstLine="562" w:firstLineChars="201"/>
        <w:rPr>
          <w:rFonts w:hint="eastAsia" w:ascii="仿宋_GB2312" w:hAnsi="仿宋_GB2312" w:eastAsia="仿宋_GB2312" w:cs="仿宋_GB2312"/>
          <w:bCs/>
          <w:color w:val="000000"/>
          <w:sz w:val="28"/>
          <w:szCs w:val="28"/>
        </w:rPr>
      </w:pPr>
      <w:r>
        <w:rPr>
          <w:rFonts w:hint="eastAsia" w:ascii="仿宋_GB2312" w:hAnsi="仿宋_GB2312" w:eastAsia="仿宋_GB2312" w:cs="仿宋_GB2312"/>
          <w:sz w:val="28"/>
          <w:szCs w:val="28"/>
        </w:rPr>
        <w:t>国际税收的概念与产生的前提条件；税收管辖权及其种类</w:t>
      </w:r>
      <w:r>
        <w:rPr>
          <w:rFonts w:hint="eastAsia" w:ascii="仿宋_GB2312" w:hAnsi="仿宋_GB2312" w:eastAsia="仿宋_GB2312" w:cs="仿宋_GB2312"/>
          <w:bCs/>
          <w:sz w:val="28"/>
          <w:szCs w:val="28"/>
        </w:rPr>
        <w:t>；确定税收管辖权的原则；</w:t>
      </w:r>
      <w:r>
        <w:rPr>
          <w:rFonts w:hint="eastAsia" w:ascii="仿宋_GB2312" w:hAnsi="仿宋_GB2312" w:eastAsia="仿宋_GB2312" w:cs="仿宋_GB2312"/>
          <w:sz w:val="28"/>
          <w:szCs w:val="28"/>
        </w:rPr>
        <w:t>国际双重征税的含义，产生原因；</w:t>
      </w:r>
      <w:r>
        <w:rPr>
          <w:rFonts w:hint="eastAsia" w:ascii="仿宋_GB2312" w:hAnsi="仿宋_GB2312" w:eastAsia="仿宋_GB2312" w:cs="仿宋_GB2312"/>
          <w:bCs/>
          <w:sz w:val="28"/>
          <w:szCs w:val="28"/>
        </w:rPr>
        <w:t>居民身份</w:t>
      </w:r>
      <w:r>
        <w:rPr>
          <w:rFonts w:hint="eastAsia" w:ascii="仿宋_GB2312" w:hAnsi="仿宋_GB2312" w:eastAsia="仿宋_GB2312" w:cs="仿宋_GB2312"/>
          <w:sz w:val="28"/>
          <w:szCs w:val="28"/>
        </w:rPr>
        <w:t>的</w:t>
      </w:r>
      <w:r>
        <w:rPr>
          <w:rFonts w:hint="eastAsia" w:ascii="仿宋_GB2312" w:hAnsi="仿宋_GB2312" w:eastAsia="仿宋_GB2312" w:cs="仿宋_GB2312"/>
          <w:bCs/>
          <w:sz w:val="28"/>
          <w:szCs w:val="28"/>
        </w:rPr>
        <w:t>确认规则；避免双重征税的办法及外国税收抵免制度；</w:t>
      </w:r>
      <w:r>
        <w:rPr>
          <w:rFonts w:hint="eastAsia" w:ascii="仿宋_GB2312" w:hAnsi="仿宋_GB2312" w:eastAsia="仿宋_GB2312" w:cs="仿宋_GB2312"/>
          <w:sz w:val="28"/>
          <w:szCs w:val="28"/>
        </w:rPr>
        <w:t>国际避税的含义及产生的原因；常见的国际避税手段；反避税措施，BEPS行动计划。</w:t>
      </w:r>
    </w:p>
    <w:p>
      <w:pPr>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六、主要参考书目</w:t>
      </w:r>
    </w:p>
    <w:p>
      <w:pPr>
        <w:spacing w:line="360" w:lineRule="auto"/>
        <w:ind w:firstLine="562" w:firstLineChars="20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1、中国注册会计师协会主编：税法，中国财政经济出版社，20</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月；</w:t>
      </w:r>
    </w:p>
    <w:p>
      <w:pPr>
        <w:spacing w:line="360" w:lineRule="auto"/>
        <w:ind w:firstLine="562" w:firstLineChars="20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2、黄桦主编：税收学（第</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版），中国人民大学出版社，20</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月。</w:t>
      </w:r>
    </w:p>
    <w:p>
      <w:pPr>
        <w:spacing w:line="360" w:lineRule="auto"/>
        <w:rPr>
          <w:rFonts w:hint="eastAsia" w:ascii="仿宋_GB2312" w:hAnsi="仿宋_GB2312" w:eastAsia="仿宋_GB2312" w:cs="仿宋_GB2312"/>
          <w:sz w:val="28"/>
          <w:szCs w:val="28"/>
        </w:rPr>
      </w:pPr>
    </w:p>
    <w:p>
      <w:pPr>
        <w:jc w:val="right"/>
        <w:rPr>
          <w:sz w:val="32"/>
        </w:rPr>
      </w:pPr>
      <w:r>
        <w:rPr>
          <w:rFonts w:hint="eastAsia"/>
          <w:sz w:val="24"/>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4899845"/>
      <w:docPartObj>
        <w:docPartGallery w:val="autotext"/>
      </w:docPartObj>
    </w:sdtPr>
    <w:sdtContent>
      <w:p>
        <w:pPr>
          <w:pStyle w:val="3"/>
          <w:jc w:val="center"/>
        </w:pPr>
        <w:r>
          <w:fldChar w:fldCharType="begin"/>
        </w:r>
        <w:r>
          <w:instrText xml:space="preserve">PAGE   \* MERGEFORMAT</w:instrText>
        </w:r>
        <w:r>
          <w:fldChar w:fldCharType="separate"/>
        </w:r>
        <w:r>
          <w:rPr>
            <w:lang w:val="zh-CN"/>
          </w:rPr>
          <w:t>4</w:t>
        </w:r>
        <w: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EA5E01"/>
    <w:multiLevelType w:val="multilevel"/>
    <w:tmpl w:val="28EA5E01"/>
    <w:lvl w:ilvl="0" w:tentative="0">
      <w:start w:val="4"/>
      <w:numFmt w:val="decimal"/>
      <w:suff w:val="nothing"/>
      <w:lvlText w:val="%1、"/>
      <w:lvlJc w:val="left"/>
      <w:pPr>
        <w:ind w:left="50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4EB3419"/>
    <w:multiLevelType w:val="multilevel"/>
    <w:tmpl w:val="74EB341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cxN2YyMzcyZmU1NzAzODA0MDg4ODA2NWM2MWYzMDQifQ=="/>
  </w:docVars>
  <w:rsids>
    <w:rsidRoot w:val="00E85301"/>
    <w:rsid w:val="0000787C"/>
    <w:rsid w:val="000322A6"/>
    <w:rsid w:val="00055C11"/>
    <w:rsid w:val="000C0959"/>
    <w:rsid w:val="000D06F9"/>
    <w:rsid w:val="00130400"/>
    <w:rsid w:val="00137144"/>
    <w:rsid w:val="00177369"/>
    <w:rsid w:val="002422B7"/>
    <w:rsid w:val="00301DDA"/>
    <w:rsid w:val="003453B5"/>
    <w:rsid w:val="003831BD"/>
    <w:rsid w:val="00387430"/>
    <w:rsid w:val="004B73CC"/>
    <w:rsid w:val="004E5F8E"/>
    <w:rsid w:val="005405DB"/>
    <w:rsid w:val="00547DEE"/>
    <w:rsid w:val="0057101C"/>
    <w:rsid w:val="005A487A"/>
    <w:rsid w:val="005B4DB8"/>
    <w:rsid w:val="005E72EC"/>
    <w:rsid w:val="005F6B5B"/>
    <w:rsid w:val="005F72A7"/>
    <w:rsid w:val="0062342C"/>
    <w:rsid w:val="006C109F"/>
    <w:rsid w:val="007A0205"/>
    <w:rsid w:val="007C4F06"/>
    <w:rsid w:val="007E5D09"/>
    <w:rsid w:val="008232A8"/>
    <w:rsid w:val="00843739"/>
    <w:rsid w:val="00892ECD"/>
    <w:rsid w:val="009304D8"/>
    <w:rsid w:val="00943DB3"/>
    <w:rsid w:val="00971554"/>
    <w:rsid w:val="009F184A"/>
    <w:rsid w:val="00AA42D1"/>
    <w:rsid w:val="00AE5046"/>
    <w:rsid w:val="00B37F54"/>
    <w:rsid w:val="00B67223"/>
    <w:rsid w:val="00B96835"/>
    <w:rsid w:val="00C13262"/>
    <w:rsid w:val="00C4158D"/>
    <w:rsid w:val="00CA5CF8"/>
    <w:rsid w:val="00CC1FD5"/>
    <w:rsid w:val="00CC5AE5"/>
    <w:rsid w:val="00D22BCD"/>
    <w:rsid w:val="00D6695C"/>
    <w:rsid w:val="00E37CC8"/>
    <w:rsid w:val="00E54E64"/>
    <w:rsid w:val="00E85301"/>
    <w:rsid w:val="00F87F5C"/>
    <w:rsid w:val="23381F8F"/>
    <w:rsid w:val="28C145FA"/>
    <w:rsid w:val="605651E3"/>
    <w:rsid w:val="6FB67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customStyle="1" w:styleId="8">
    <w:name w:val="页眉 字符"/>
    <w:basedOn w:val="7"/>
    <w:link w:val="4"/>
    <w:qFormat/>
    <w:uiPriority w:val="99"/>
    <w:rPr>
      <w:rFonts w:ascii="Calibri" w:hAnsi="Calibri" w:eastAsia="宋体" w:cs="Times New Roman"/>
      <w:sz w:val="18"/>
      <w:szCs w:val="18"/>
    </w:rPr>
  </w:style>
  <w:style w:type="character" w:customStyle="1" w:styleId="9">
    <w:name w:val="页脚 字符"/>
    <w:basedOn w:val="7"/>
    <w:link w:val="3"/>
    <w:qFormat/>
    <w:uiPriority w:val="99"/>
    <w:rPr>
      <w:rFonts w:ascii="Calibri" w:hAnsi="Calibri" w:eastAsia="宋体" w:cs="Times New Roman"/>
      <w:sz w:val="18"/>
      <w:szCs w:val="18"/>
    </w:rPr>
  </w:style>
  <w:style w:type="character" w:customStyle="1" w:styleId="10">
    <w:name w:val="日期 字符"/>
    <w:basedOn w:val="7"/>
    <w:link w:val="2"/>
    <w:semiHidden/>
    <w:qFormat/>
    <w:uiPriority w:val="99"/>
    <w:rPr>
      <w:rFonts w:ascii="Calibri" w:hAnsi="Calibri" w:eastAsia="宋体" w:cs="Times New Roman"/>
      <w:szCs w:val="21"/>
    </w:rPr>
  </w:style>
  <w:style w:type="character" w:customStyle="1" w:styleId="11">
    <w:name w:val="apple-converted-space"/>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162E4-14D6-4DB0-91A1-C5C713CEAC1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1780</Words>
  <Characters>1819</Characters>
  <Lines>13</Lines>
  <Paragraphs>3</Paragraphs>
  <TotalTime>150</TotalTime>
  <ScaleCrop>false</ScaleCrop>
  <LinksUpToDate>false</LinksUpToDate>
  <CharactersWithSpaces>1869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2018-09-13T09:01:00Z</dcterms:created>
  <dc:creator>薛艳丽</dc:creator>
  <cp:lastModifiedBy>张璐</cp:lastModifiedBy>
  <cp:lastPrinted>2021-07-15T03:20:00Z</cp:lastPrinted>
  <dcterms:modified xsi:type="dcterms:W3CDTF">2022-09-20T08:37:41Z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66460CB28EEF4587916E494088DBE080</vt:lpwstr>
  </property>
</Properties>
</file>