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5000" w:type="pct"/>
        <w:tblInd w:w="0" w:type="dxa"/>
        <w:shd w:val="clear" w:color="auto" w:fill="FFFFFF"/>
        <w:tblLayout w:type="autofit"/>
        <w:tblCellMar>
          <w:top w:w="0" w:type="dxa"/>
          <w:left w:w="0" w:type="dxa"/>
          <w:bottom w:w="0" w:type="dxa"/>
          <w:right w:w="0" w:type="dxa"/>
        </w:tblCellMar>
      </w:tblPr>
      <w:tblGrid>
        <w:gridCol w:w="7773"/>
        <w:gridCol w:w="533"/>
      </w:tblGrid>
      <w:tr>
        <w:tblPrEx>
          <w:shd w:val="clear" w:color="auto" w:fill="FFFFFF"/>
          <w:tblCellMar>
            <w:top w:w="0" w:type="dxa"/>
            <w:left w:w="0" w:type="dxa"/>
            <w:bottom w:w="0" w:type="dxa"/>
            <w:right w:w="0" w:type="dxa"/>
          </w:tblCellMar>
        </w:tblPrEx>
        <w:tc>
          <w:tcPr>
            <w:tcW w:w="13530" w:type="dxa"/>
            <w:shd w:val="clear" w:color="auto" w:fill="FFFFFF"/>
          </w:tcPr>
          <w:tbl>
            <w:tblPr>
              <w:tblStyle w:val="3"/>
              <w:tblW w:w="5000" w:type="pct"/>
              <w:tblInd w:w="0" w:type="dxa"/>
              <w:tblLayout w:type="autofit"/>
              <w:tblCellMar>
                <w:top w:w="0" w:type="dxa"/>
                <w:left w:w="0" w:type="dxa"/>
                <w:bottom w:w="0" w:type="dxa"/>
                <w:right w:w="0" w:type="dxa"/>
              </w:tblCellMar>
            </w:tblPr>
            <w:tblGrid>
              <w:gridCol w:w="7773"/>
            </w:tblGrid>
            <w:tr>
              <w:tblPrEx>
                <w:tblCellMar>
                  <w:top w:w="0" w:type="dxa"/>
                  <w:left w:w="0" w:type="dxa"/>
                  <w:bottom w:w="0" w:type="dxa"/>
                  <w:right w:w="0" w:type="dxa"/>
                </w:tblCellMar>
              </w:tblPrEx>
              <w:trPr>
                <w:trHeight w:val="520" w:hRule="atLeast"/>
              </w:trPr>
              <w:tc>
                <w:tcPr>
                  <w:tcW w:w="0" w:type="auto"/>
                  <w:tcMar>
                    <w:top w:w="150" w:type="dxa"/>
                    <w:left w:w="300" w:type="dxa"/>
                    <w:bottom w:w="150" w:type="dxa"/>
                    <w:right w:w="300" w:type="dxa"/>
                  </w:tcMar>
                  <w:vAlign w:val="center"/>
                </w:tcPr>
                <w:p>
                  <w:pPr>
                    <w:widowControl/>
                    <w:spacing w:line="360" w:lineRule="atLeast"/>
                    <w:jc w:val="center"/>
                    <w:rPr>
                      <w:rFonts w:ascii="宋体" w:hAnsi="宋体" w:cs="宋体"/>
                      <w:b/>
                      <w:bCs/>
                      <w:kern w:val="0"/>
                      <w:sz w:val="30"/>
                      <w:szCs w:val="30"/>
                    </w:rPr>
                  </w:pPr>
                  <w:r>
                    <w:rPr>
                      <w:rFonts w:ascii="宋体" w:hAnsi="宋体" w:cs="宋体"/>
                      <w:b/>
                      <w:bCs/>
                      <w:kern w:val="0"/>
                      <w:sz w:val="30"/>
                      <w:szCs w:val="30"/>
                    </w:rPr>
                    <w:t>安徽大学管理学院2022年硕</w:t>
                  </w:r>
                  <w:bookmarkStart w:id="2" w:name="_GoBack"/>
                  <w:bookmarkEnd w:id="2"/>
                  <w:r>
                    <w:rPr>
                      <w:rFonts w:ascii="宋体" w:hAnsi="宋体" w:cs="宋体"/>
                      <w:b/>
                      <w:bCs/>
                      <w:kern w:val="0"/>
                      <w:sz w:val="30"/>
                      <w:szCs w:val="30"/>
                    </w:rPr>
                    <w:t>士研究生</w:t>
                  </w:r>
                </w:p>
                <w:p>
                  <w:pPr>
                    <w:widowControl/>
                    <w:spacing w:line="360" w:lineRule="atLeast"/>
                    <w:jc w:val="center"/>
                    <w:rPr>
                      <w:rFonts w:ascii="宋体" w:hAnsi="宋体" w:cs="宋体"/>
                      <w:b/>
                      <w:bCs/>
                      <w:kern w:val="0"/>
                      <w:sz w:val="30"/>
                      <w:szCs w:val="30"/>
                    </w:rPr>
                  </w:pPr>
                  <w:r>
                    <w:rPr>
                      <w:rFonts w:ascii="宋体" w:hAnsi="宋体" w:cs="宋体"/>
                      <w:b/>
                      <w:bCs/>
                      <w:kern w:val="0"/>
                      <w:sz w:val="30"/>
                      <w:szCs w:val="30"/>
                    </w:rPr>
                    <w:t>招生复试工作细则</w:t>
                  </w:r>
                </w:p>
              </w:tc>
            </w:tr>
          </w:tbl>
          <w:p>
            <w:pPr>
              <w:widowControl/>
              <w:spacing w:line="360" w:lineRule="atLeast"/>
              <w:jc w:val="left"/>
              <w:rPr>
                <w:rFonts w:ascii="宋体" w:hAnsi="宋体" w:cs="宋体"/>
                <w:vanish/>
                <w:color w:val="262626"/>
                <w:kern w:val="0"/>
                <w:szCs w:val="21"/>
              </w:rPr>
            </w:pPr>
          </w:p>
          <w:tbl>
            <w:tblPr>
              <w:tblStyle w:val="3"/>
              <w:tblW w:w="5000" w:type="pct"/>
              <w:tblInd w:w="0" w:type="dxa"/>
              <w:tblLayout w:type="autofit"/>
              <w:tblCellMar>
                <w:top w:w="0" w:type="dxa"/>
                <w:left w:w="0" w:type="dxa"/>
                <w:bottom w:w="0" w:type="dxa"/>
                <w:right w:w="0" w:type="dxa"/>
              </w:tblCellMar>
            </w:tblPr>
            <w:tblGrid>
              <w:gridCol w:w="7773"/>
            </w:tblGrid>
            <w:tr>
              <w:tblPrEx>
                <w:tblCellMar>
                  <w:top w:w="0" w:type="dxa"/>
                  <w:left w:w="0" w:type="dxa"/>
                  <w:bottom w:w="0" w:type="dxa"/>
                  <w:right w:w="0" w:type="dxa"/>
                </w:tblCellMar>
              </w:tblPrEx>
              <w:tc>
                <w:tcPr>
                  <w:tcW w:w="0" w:type="auto"/>
                  <w:vAlign w:val="center"/>
                </w:tcPr>
                <w:p>
                  <w:pPr>
                    <w:widowControl/>
                    <w:spacing w:line="360" w:lineRule="atLeast"/>
                    <w:jc w:val="left"/>
                    <w:rPr>
                      <w:rFonts w:ascii="宋体" w:hAnsi="宋体" w:cs="宋体"/>
                      <w:color w:val="262626"/>
                      <w:kern w:val="0"/>
                      <w:szCs w:val="21"/>
                    </w:rPr>
                  </w:pPr>
                </w:p>
              </w:tc>
            </w:tr>
          </w:tbl>
          <w:p>
            <w:pPr>
              <w:widowControl/>
              <w:spacing w:line="360" w:lineRule="atLeast"/>
              <w:jc w:val="left"/>
              <w:rPr>
                <w:rFonts w:ascii="宋体" w:hAnsi="宋体" w:cs="宋体"/>
                <w:vanish/>
                <w:color w:val="262626"/>
                <w:kern w:val="0"/>
                <w:szCs w:val="21"/>
              </w:rPr>
            </w:pPr>
          </w:p>
          <w:p>
            <w:pPr>
              <w:widowControl/>
              <w:spacing w:line="360" w:lineRule="atLeast"/>
              <w:jc w:val="left"/>
              <w:rPr>
                <w:rFonts w:ascii="宋体" w:hAnsi="宋体" w:cs="宋体"/>
                <w:vanish/>
                <w:color w:val="262626"/>
                <w:kern w:val="0"/>
                <w:szCs w:val="21"/>
              </w:rPr>
            </w:pPr>
          </w:p>
          <w:tbl>
            <w:tblPr>
              <w:tblStyle w:val="3"/>
              <w:tblW w:w="5000" w:type="pct"/>
              <w:tblInd w:w="0" w:type="dxa"/>
              <w:tblLayout w:type="autofit"/>
              <w:tblCellMar>
                <w:top w:w="0" w:type="dxa"/>
                <w:left w:w="0" w:type="dxa"/>
                <w:bottom w:w="0" w:type="dxa"/>
                <w:right w:w="0" w:type="dxa"/>
              </w:tblCellMar>
            </w:tblPr>
            <w:tblGrid>
              <w:gridCol w:w="7773"/>
            </w:tblGrid>
            <w:tr>
              <w:tblPrEx>
                <w:tblCellMar>
                  <w:top w:w="0" w:type="dxa"/>
                  <w:left w:w="0" w:type="dxa"/>
                  <w:bottom w:w="0" w:type="dxa"/>
                  <w:right w:w="0" w:type="dxa"/>
                </w:tblCellMar>
              </w:tblPrEx>
              <w:tc>
                <w:tcPr>
                  <w:tcW w:w="0" w:type="auto"/>
                </w:tcPr>
                <w:p>
                  <w:pPr>
                    <w:widowControl/>
                    <w:spacing w:line="375" w:lineRule="atLeast"/>
                    <w:ind w:firstLine="495"/>
                    <w:jc w:val="left"/>
                    <w:rPr>
                      <w:rFonts w:ascii="宋体" w:hAnsi="宋体" w:cs="宋体"/>
                      <w:color w:val="262626"/>
                      <w:kern w:val="0"/>
                      <w:sz w:val="18"/>
                      <w:szCs w:val="18"/>
                    </w:rPr>
                  </w:pPr>
                  <w:r>
                    <w:rPr>
                      <w:rFonts w:hint="eastAsia" w:ascii="宋体" w:hAnsi="宋体" w:cs="宋体"/>
                      <w:color w:val="262626"/>
                      <w:kern w:val="0"/>
                      <w:sz w:val="24"/>
                      <w:szCs w:val="24"/>
                      <w:shd w:val="clear" w:color="auto" w:fill="FFFFFF"/>
                    </w:rPr>
                    <w:t>根据《</w:t>
                  </w:r>
                  <w:bookmarkStart w:id="0" w:name="_Hlk39782704"/>
                  <w:r>
                    <w:rPr>
                      <w:rFonts w:hint="eastAsia" w:ascii="宋体" w:hAnsi="宋体" w:cs="宋体"/>
                      <w:color w:val="333333"/>
                      <w:kern w:val="0"/>
                      <w:sz w:val="24"/>
                      <w:szCs w:val="24"/>
                      <w:shd w:val="clear" w:color="auto" w:fill="FFFFFF"/>
                    </w:rPr>
                    <w:t>安徽大学</w:t>
                  </w:r>
                  <w:bookmarkEnd w:id="0"/>
                  <w:r>
                    <w:rPr>
                      <w:rFonts w:hint="eastAsia" w:ascii="宋体" w:hAnsi="宋体" w:cs="宋体"/>
                      <w:color w:val="262626"/>
                      <w:kern w:val="0"/>
                      <w:sz w:val="24"/>
                      <w:szCs w:val="24"/>
                      <w:shd w:val="clear" w:color="auto" w:fill="FFFFFF"/>
                    </w:rPr>
                    <w:t>2022年硕士研究生招生复试和录取办法》，结合本院实际，制定本细则。</w:t>
                  </w:r>
                </w:p>
                <w:p>
                  <w:pPr>
                    <w:widowControl/>
                    <w:spacing w:line="375" w:lineRule="atLeast"/>
                    <w:ind w:firstLine="495"/>
                    <w:jc w:val="left"/>
                    <w:rPr>
                      <w:rFonts w:hint="eastAsia" w:ascii="宋体" w:hAnsi="宋体" w:cs="宋体"/>
                      <w:color w:val="262626"/>
                      <w:kern w:val="0"/>
                      <w:sz w:val="18"/>
                      <w:szCs w:val="18"/>
                    </w:rPr>
                  </w:pPr>
                  <w:r>
                    <w:rPr>
                      <w:rFonts w:hint="eastAsia" w:ascii="宋体" w:hAnsi="宋体" w:cs="宋体"/>
                      <w:color w:val="262626"/>
                      <w:kern w:val="0"/>
                      <w:sz w:val="24"/>
                      <w:szCs w:val="24"/>
                      <w:shd w:val="clear" w:color="auto" w:fill="FFFFFF"/>
                    </w:rPr>
                    <w:t>本院2022年硕士研究生复试及录取工作安排严格按照学校有关文件进行。</w:t>
                  </w:r>
                </w:p>
                <w:p>
                  <w:pPr>
                    <w:widowControl/>
                    <w:spacing w:line="375" w:lineRule="atLeast"/>
                    <w:ind w:firstLine="555"/>
                    <w:jc w:val="left"/>
                    <w:rPr>
                      <w:rFonts w:hint="eastAsia" w:ascii="宋体" w:hAnsi="宋体" w:cs="宋体"/>
                      <w:color w:val="262626"/>
                      <w:kern w:val="0"/>
                      <w:sz w:val="18"/>
                      <w:szCs w:val="18"/>
                    </w:rPr>
                  </w:pPr>
                  <w:r>
                    <w:rPr>
                      <w:rFonts w:hint="eastAsia" w:ascii="宋体" w:hAnsi="宋体" w:cs="宋体"/>
                      <w:b/>
                      <w:bCs/>
                      <w:color w:val="262626"/>
                      <w:spacing w:val="15"/>
                      <w:kern w:val="0"/>
                      <w:sz w:val="24"/>
                      <w:szCs w:val="24"/>
                      <w:shd w:val="clear" w:color="auto" w:fill="FFFFFF"/>
                    </w:rPr>
                    <w:t>一、复试规则</w:t>
                  </w:r>
                </w:p>
                <w:p>
                  <w:pPr>
                    <w:widowControl/>
                    <w:spacing w:line="375" w:lineRule="atLeast"/>
                    <w:ind w:firstLine="480"/>
                    <w:jc w:val="left"/>
                    <w:rPr>
                      <w:rFonts w:hint="eastAsia" w:ascii="宋体" w:hAnsi="宋体" w:cs="宋体"/>
                      <w:color w:val="262626"/>
                      <w:kern w:val="0"/>
                      <w:sz w:val="18"/>
                      <w:szCs w:val="18"/>
                    </w:rPr>
                  </w:pPr>
                  <w:r>
                    <w:rPr>
                      <w:rFonts w:hint="eastAsia" w:ascii="宋体" w:hAnsi="宋体" w:cs="宋体"/>
                      <w:color w:val="262626"/>
                      <w:kern w:val="0"/>
                      <w:sz w:val="24"/>
                      <w:szCs w:val="24"/>
                      <w:shd w:val="clear" w:color="auto" w:fill="FFFFFF"/>
                    </w:rPr>
                    <w:t>（一）复试采取差额形式，学术学位硕士、专业学位硕士、非全日制公共管理硕士的复试比例均为1：1.2。图书情报与档案管理硕士复试分数线为365分，全日制公共管理硕士复试分数线为382分，图书情报专业硕士复试线分数为225分，非全日制公共管理硕士复试分数线为187分。</w:t>
                  </w:r>
                </w:p>
                <w:p>
                  <w:pPr>
                    <w:widowControl/>
                    <w:spacing w:line="375" w:lineRule="atLeast"/>
                    <w:ind w:firstLine="495"/>
                    <w:jc w:val="left"/>
                    <w:rPr>
                      <w:rFonts w:hint="eastAsia" w:ascii="宋体" w:hAnsi="宋体" w:cs="宋体"/>
                      <w:color w:val="262626"/>
                      <w:kern w:val="0"/>
                      <w:sz w:val="18"/>
                      <w:szCs w:val="18"/>
                    </w:rPr>
                  </w:pPr>
                  <w:r>
                    <w:rPr>
                      <w:rFonts w:hint="eastAsia" w:ascii="宋体" w:hAnsi="宋体" w:cs="宋体"/>
                      <w:color w:val="262626"/>
                      <w:kern w:val="0"/>
                      <w:sz w:val="24"/>
                      <w:szCs w:val="24"/>
                      <w:shd w:val="clear" w:color="auto" w:fill="FFFFFF"/>
                    </w:rPr>
                    <w:t>（二）考生的复试资格以研究生院公布并下达给本院的名单为准。</w:t>
                  </w:r>
                </w:p>
                <w:p>
                  <w:pPr>
                    <w:widowControl/>
                    <w:spacing w:line="375" w:lineRule="atLeast"/>
                    <w:ind w:firstLine="495"/>
                    <w:jc w:val="left"/>
                    <w:rPr>
                      <w:rFonts w:hint="eastAsia" w:ascii="宋体" w:hAnsi="宋体" w:cs="宋体"/>
                      <w:color w:val="262626"/>
                      <w:kern w:val="0"/>
                      <w:sz w:val="18"/>
                      <w:szCs w:val="18"/>
                    </w:rPr>
                  </w:pPr>
                  <w:r>
                    <w:rPr>
                      <w:rFonts w:hint="eastAsia" w:ascii="宋体" w:hAnsi="宋体" w:cs="宋体"/>
                      <w:color w:val="262626"/>
                      <w:kern w:val="0"/>
                      <w:sz w:val="24"/>
                      <w:szCs w:val="24"/>
                      <w:shd w:val="clear" w:color="auto" w:fill="FFFFFF"/>
                    </w:rPr>
                    <w:t>（三）符合复试条件的考生，在参加复试之前需接受资格审查。凡未接受资格审查或资格审查未通过的考生不得参加复试。学院根据教育部和学校有关文件规定进行审查。</w:t>
                  </w:r>
                </w:p>
                <w:p>
                  <w:pPr>
                    <w:widowControl/>
                    <w:spacing w:line="360" w:lineRule="atLeast"/>
                    <w:ind w:firstLine="480"/>
                    <w:jc w:val="left"/>
                    <w:rPr>
                      <w:rFonts w:hint="eastAsia" w:ascii="宋体" w:hAnsi="宋体" w:cs="宋体"/>
                      <w:color w:val="262626"/>
                      <w:kern w:val="0"/>
                      <w:sz w:val="18"/>
                      <w:szCs w:val="18"/>
                    </w:rPr>
                  </w:pPr>
                  <w:r>
                    <w:rPr>
                      <w:rFonts w:hint="eastAsia" w:ascii="宋体" w:hAnsi="宋体" w:cs="宋体"/>
                      <w:color w:val="262626"/>
                      <w:kern w:val="0"/>
                      <w:sz w:val="24"/>
                      <w:szCs w:val="24"/>
                      <w:shd w:val="clear" w:color="auto" w:fill="FFFFFF"/>
                    </w:rPr>
                    <w:t>考生须通过面试平台提交以下材料（</w:t>
                  </w:r>
                  <w:r>
                    <w:rPr>
                      <w:rFonts w:hint="eastAsia" w:ascii="宋体" w:hAnsi="宋体" w:cs="宋体"/>
                      <w:b/>
                      <w:bCs/>
                      <w:color w:val="333333"/>
                      <w:spacing w:val="15"/>
                      <w:kern w:val="0"/>
                      <w:sz w:val="24"/>
                      <w:szCs w:val="24"/>
                      <w:shd w:val="clear" w:color="auto" w:fill="FFFFFF"/>
                    </w:rPr>
                    <w:t>原件拍照或清晰扫描件电子版，按顺序编号，并将文件打包命名为“准考证号+姓名+复试培养单位”</w:t>
                  </w:r>
                  <w:r>
                    <w:rPr>
                      <w:rFonts w:hint="eastAsia" w:ascii="宋体" w:hAnsi="宋体" w:cs="宋体"/>
                      <w:color w:val="262626"/>
                      <w:kern w:val="0"/>
                      <w:sz w:val="24"/>
                      <w:szCs w:val="24"/>
                      <w:shd w:val="clear" w:color="auto" w:fill="FFFFFF"/>
                    </w:rPr>
                    <w:t>）。</w:t>
                  </w:r>
                </w:p>
                <w:p>
                  <w:pPr>
                    <w:widowControl/>
                    <w:spacing w:line="375" w:lineRule="atLeast"/>
                    <w:ind w:firstLine="495"/>
                    <w:jc w:val="left"/>
                    <w:rPr>
                      <w:rFonts w:hint="eastAsia" w:ascii="宋体" w:hAnsi="宋体" w:cs="宋体"/>
                      <w:color w:val="262626"/>
                      <w:kern w:val="0"/>
                      <w:sz w:val="18"/>
                      <w:szCs w:val="18"/>
                    </w:rPr>
                  </w:pPr>
                  <w:r>
                    <w:rPr>
                      <w:rFonts w:hint="eastAsia" w:ascii="宋体" w:hAnsi="宋体" w:cs="宋体"/>
                      <w:b/>
                      <w:bCs/>
                      <w:color w:val="262626"/>
                      <w:kern w:val="0"/>
                      <w:sz w:val="24"/>
                      <w:szCs w:val="24"/>
                      <w:shd w:val="clear" w:color="auto" w:fill="FFFFFF"/>
                    </w:rPr>
                    <w:t>相关材料需按如下顺序编号并命名</w:t>
                  </w:r>
                  <w:r>
                    <w:rPr>
                      <w:rFonts w:hint="eastAsia" w:ascii="宋体" w:hAnsi="宋体" w:cs="宋体"/>
                      <w:color w:val="262626"/>
                      <w:kern w:val="0"/>
                      <w:sz w:val="24"/>
                      <w:szCs w:val="24"/>
                      <w:shd w:val="clear" w:color="auto" w:fill="FFFFFF"/>
                    </w:rPr>
                    <w:t>：</w:t>
                  </w:r>
                </w:p>
                <w:p>
                  <w:pPr>
                    <w:widowControl/>
                    <w:spacing w:line="375" w:lineRule="atLeast"/>
                    <w:ind w:firstLine="480"/>
                    <w:jc w:val="left"/>
                    <w:rPr>
                      <w:rFonts w:hint="eastAsia" w:ascii="宋体" w:hAnsi="宋体" w:cs="宋体"/>
                      <w:color w:val="262626"/>
                      <w:kern w:val="0"/>
                      <w:sz w:val="18"/>
                      <w:szCs w:val="18"/>
                    </w:rPr>
                  </w:pPr>
                  <w:r>
                    <w:rPr>
                      <w:rFonts w:hint="eastAsia" w:ascii="宋体" w:hAnsi="宋体" w:cs="宋体"/>
                      <w:color w:val="262626"/>
                      <w:kern w:val="0"/>
                      <w:sz w:val="24"/>
                      <w:szCs w:val="24"/>
                      <w:shd w:val="clear" w:color="auto" w:fill="FFFFFF"/>
                    </w:rPr>
                    <w:t>1. 准考证。（文件命名规则为：“1.准考证”）</w:t>
                  </w:r>
                </w:p>
                <w:p>
                  <w:pPr>
                    <w:widowControl/>
                    <w:spacing w:line="375" w:lineRule="atLeast"/>
                    <w:ind w:firstLine="480"/>
                    <w:jc w:val="left"/>
                    <w:rPr>
                      <w:rFonts w:hint="eastAsia" w:ascii="宋体" w:hAnsi="宋体" w:cs="宋体"/>
                      <w:color w:val="262626"/>
                      <w:kern w:val="0"/>
                      <w:sz w:val="18"/>
                      <w:szCs w:val="18"/>
                    </w:rPr>
                  </w:pPr>
                  <w:r>
                    <w:rPr>
                      <w:rFonts w:hint="eastAsia" w:ascii="宋体" w:hAnsi="宋体" w:cs="宋体"/>
                      <w:color w:val="262626"/>
                      <w:kern w:val="0"/>
                      <w:sz w:val="24"/>
                      <w:szCs w:val="24"/>
                      <w:shd w:val="clear" w:color="auto" w:fill="FFFFFF"/>
                    </w:rPr>
                    <w:t>2. 二代身份证（正反两面）。（文件命名规则为：“2.身份证”）</w:t>
                  </w:r>
                </w:p>
                <w:p>
                  <w:pPr>
                    <w:widowControl/>
                    <w:spacing w:line="375" w:lineRule="atLeast"/>
                    <w:ind w:firstLine="480"/>
                    <w:jc w:val="left"/>
                    <w:rPr>
                      <w:rFonts w:hint="eastAsia" w:ascii="宋体" w:hAnsi="宋体" w:cs="宋体"/>
                      <w:color w:val="262626"/>
                      <w:kern w:val="0"/>
                      <w:sz w:val="18"/>
                      <w:szCs w:val="18"/>
                    </w:rPr>
                  </w:pPr>
                  <w:r>
                    <w:rPr>
                      <w:rFonts w:hint="eastAsia" w:ascii="宋体" w:hAnsi="宋体" w:cs="宋体"/>
                      <w:color w:val="222222"/>
                      <w:spacing w:val="15"/>
                      <w:kern w:val="0"/>
                      <w:sz w:val="24"/>
                      <w:szCs w:val="24"/>
                      <w:shd w:val="clear" w:color="auto" w:fill="FFFFFF"/>
                    </w:rPr>
                    <w:t>3. 学历证书、学位证书（应届生提供学生证，需包含就读院校名称及个人信息页及学籍注册页）；复试时尚未取得本科毕业证书的自考和网络教育考生，须凭颁发毕业证书的省级高等教育自学考试办公室或网络教育高校出具的相关证明方可参加复试.（文件命名规则为：“3.学历学位证书”或“3.学生证”）</w:t>
                  </w:r>
                </w:p>
                <w:p>
                  <w:pPr>
                    <w:widowControl/>
                    <w:spacing w:line="375" w:lineRule="atLeast"/>
                    <w:ind w:firstLine="480"/>
                    <w:jc w:val="left"/>
                    <w:rPr>
                      <w:rFonts w:hint="eastAsia" w:ascii="宋体" w:hAnsi="宋体" w:cs="宋体"/>
                      <w:color w:val="262626"/>
                      <w:kern w:val="0"/>
                      <w:sz w:val="18"/>
                      <w:szCs w:val="18"/>
                    </w:rPr>
                  </w:pPr>
                  <w:r>
                    <w:rPr>
                      <w:rFonts w:hint="eastAsia" w:ascii="宋体" w:hAnsi="宋体" w:cs="宋体"/>
                      <w:color w:val="222222"/>
                      <w:spacing w:val="15"/>
                      <w:kern w:val="0"/>
                      <w:sz w:val="24"/>
                      <w:szCs w:val="24"/>
                      <w:shd w:val="clear" w:color="auto" w:fill="FFFFFF"/>
                    </w:rPr>
                    <w:t>4. 大学期间成绩单原件或档案中成绩单复印件（应届本科毕业生加盖所在学校教务部门公章，往届生加盖档案管理单位红章）。（文件命名规则为：“4.成绩单”）</w:t>
                  </w:r>
                </w:p>
                <w:p>
                  <w:pPr>
                    <w:widowControl/>
                    <w:spacing w:line="375" w:lineRule="atLeast"/>
                    <w:ind w:firstLine="480"/>
                    <w:jc w:val="left"/>
                    <w:rPr>
                      <w:rFonts w:hint="eastAsia" w:ascii="宋体" w:hAnsi="宋体" w:cs="宋体"/>
                      <w:color w:val="262626"/>
                      <w:kern w:val="0"/>
                      <w:sz w:val="18"/>
                      <w:szCs w:val="18"/>
                    </w:rPr>
                  </w:pPr>
                  <w:r>
                    <w:rPr>
                      <w:rFonts w:hint="eastAsia" w:ascii="宋体" w:hAnsi="宋体" w:cs="宋体"/>
                      <w:color w:val="262626"/>
                      <w:kern w:val="0"/>
                      <w:sz w:val="24"/>
                      <w:szCs w:val="24"/>
                      <w:shd w:val="clear" w:color="auto" w:fill="FFFFFF"/>
                    </w:rPr>
                    <w:t>5. 报考“退役大学生士兵”专项计划的考生应提交本人《入伍批准书》和《退出现役证》。（文件命名规则为“5.退役大学生士兵证明”）</w:t>
                  </w:r>
                </w:p>
                <w:p>
                  <w:pPr>
                    <w:widowControl/>
                    <w:spacing w:line="375" w:lineRule="atLeast"/>
                    <w:ind w:firstLine="480"/>
                    <w:jc w:val="left"/>
                    <w:rPr>
                      <w:rFonts w:hint="eastAsia" w:ascii="宋体" w:hAnsi="宋体" w:cs="宋体"/>
                      <w:color w:val="262626"/>
                      <w:kern w:val="0"/>
                      <w:sz w:val="18"/>
                      <w:szCs w:val="18"/>
                    </w:rPr>
                  </w:pPr>
                  <w:r>
                    <w:rPr>
                      <w:rFonts w:hint="eastAsia" w:ascii="宋体" w:hAnsi="宋体" w:cs="宋体"/>
                      <w:color w:val="262626"/>
                      <w:kern w:val="0"/>
                      <w:sz w:val="24"/>
                      <w:szCs w:val="24"/>
                      <w:shd w:val="clear" w:color="auto" w:fill="FFFFFF"/>
                    </w:rPr>
                    <w:t>6. 科研成果、英语水平、获奖证书、毕业论文（应届生可提供毕业论文大纲）等证明学术才能的材料。（文件命名规则为“6.学术才能证明”）</w:t>
                  </w:r>
                </w:p>
                <w:p>
                  <w:pPr>
                    <w:widowControl/>
                    <w:spacing w:line="375" w:lineRule="atLeast"/>
                    <w:ind w:firstLine="480"/>
                    <w:jc w:val="left"/>
                    <w:rPr>
                      <w:rFonts w:hint="eastAsia" w:ascii="宋体" w:hAnsi="宋体" w:cs="宋体"/>
                      <w:color w:val="262626"/>
                      <w:kern w:val="0"/>
                      <w:sz w:val="18"/>
                      <w:szCs w:val="18"/>
                    </w:rPr>
                  </w:pPr>
                  <w:r>
                    <w:rPr>
                      <w:rFonts w:hint="eastAsia" w:ascii="宋体" w:hAnsi="宋体" w:cs="宋体"/>
                      <w:color w:val="262626"/>
                      <w:kern w:val="0"/>
                      <w:sz w:val="24"/>
                      <w:szCs w:val="24"/>
                      <w:shd w:val="clear" w:color="auto" w:fill="FFFFFF"/>
                    </w:rPr>
                    <w:t>7. 复试考生本人签字的《考生诚信承诺书》（从研究生院网站“下载专区”下载）。（文件命名规则为“7.承诺书”）</w:t>
                  </w:r>
                </w:p>
                <w:p>
                  <w:pPr>
                    <w:widowControl/>
                    <w:spacing w:line="375" w:lineRule="atLeast"/>
                    <w:ind w:firstLine="495"/>
                    <w:jc w:val="left"/>
                    <w:rPr>
                      <w:rFonts w:hint="eastAsia" w:ascii="宋体" w:hAnsi="宋体" w:cs="宋体"/>
                      <w:color w:val="262626"/>
                      <w:kern w:val="0"/>
                      <w:sz w:val="18"/>
                      <w:szCs w:val="18"/>
                    </w:rPr>
                  </w:pPr>
                  <w:r>
                    <w:rPr>
                      <w:rFonts w:hint="eastAsia" w:ascii="宋体" w:hAnsi="宋体" w:cs="宋体"/>
                      <w:color w:val="262626"/>
                      <w:kern w:val="0"/>
                      <w:sz w:val="24"/>
                      <w:szCs w:val="24"/>
                      <w:shd w:val="clear" w:color="auto" w:fill="FFFFFF"/>
                    </w:rPr>
                    <w:t>（四）考生按照图书情报与档案管理、公共管理、图书情报、非全日制公共管理四个类别，以考生在小程序提交确认手机号码时生成的“确认时间”的先后顺序决定其面试组号及组内序号。</w:t>
                  </w:r>
                </w:p>
                <w:p>
                  <w:pPr>
                    <w:widowControl/>
                    <w:spacing w:line="375" w:lineRule="atLeast"/>
                    <w:ind w:firstLine="495"/>
                    <w:jc w:val="left"/>
                    <w:rPr>
                      <w:rFonts w:hint="eastAsia" w:ascii="宋体" w:hAnsi="宋体" w:cs="宋体"/>
                      <w:color w:val="262626"/>
                      <w:kern w:val="0"/>
                      <w:sz w:val="18"/>
                      <w:szCs w:val="18"/>
                    </w:rPr>
                  </w:pPr>
                  <w:r>
                    <w:rPr>
                      <w:rFonts w:hint="eastAsia" w:ascii="宋体" w:hAnsi="宋体" w:cs="宋体"/>
                      <w:color w:val="262626"/>
                      <w:kern w:val="0"/>
                      <w:sz w:val="24"/>
                      <w:szCs w:val="24"/>
                      <w:shd w:val="clear" w:color="auto" w:fill="FFFFFF"/>
                    </w:rPr>
                    <w:t>（五）学术学位硕士按照一级学科实行复试，专业学位硕士按照相应专业复试。具体的复试日程安排</w:t>
                  </w:r>
                  <w:bookmarkStart w:id="1" w:name="_Hlk39783020"/>
                  <w:r>
                    <w:rPr>
                      <w:rFonts w:hint="eastAsia" w:ascii="宋体" w:hAnsi="宋体" w:cs="宋体"/>
                      <w:color w:val="333333"/>
                      <w:kern w:val="0"/>
                      <w:sz w:val="24"/>
                      <w:szCs w:val="24"/>
                      <w:shd w:val="clear" w:color="auto" w:fill="FFFFFF"/>
                    </w:rPr>
                    <w:t>将在本院官方网站</w:t>
                  </w:r>
                  <w:bookmarkEnd w:id="1"/>
                  <w:r>
                    <w:rPr>
                      <w:rFonts w:hint="eastAsia" w:ascii="宋体" w:hAnsi="宋体" w:cs="宋体"/>
                      <w:color w:val="262626"/>
                      <w:kern w:val="0"/>
                      <w:sz w:val="24"/>
                      <w:szCs w:val="24"/>
                      <w:shd w:val="clear" w:color="auto" w:fill="FFFFFF"/>
                    </w:rPr>
                    <w:t>（</w:t>
                  </w:r>
                  <w:r>
                    <w:fldChar w:fldCharType="begin"/>
                  </w:r>
                  <w:r>
                    <w:instrText xml:space="preserve"> HYPERLINK "http://man.ahu.edu.cn/" </w:instrText>
                  </w:r>
                  <w:r>
                    <w:fldChar w:fldCharType="separate"/>
                  </w:r>
                  <w:r>
                    <w:rPr>
                      <w:rFonts w:hint="eastAsia" w:ascii="宋体" w:hAnsi="宋体" w:cs="宋体"/>
                      <w:color w:val="000000"/>
                      <w:kern w:val="0"/>
                      <w:sz w:val="24"/>
                      <w:szCs w:val="24"/>
                      <w:u w:val="single"/>
                    </w:rPr>
                    <w:t>http://man.ahu.edu.cn/</w:t>
                  </w:r>
                  <w:r>
                    <w:rPr>
                      <w:rFonts w:hint="eastAsia" w:ascii="宋体" w:hAnsi="宋体" w:cs="宋体"/>
                      <w:color w:val="000000"/>
                      <w:kern w:val="0"/>
                      <w:sz w:val="24"/>
                      <w:szCs w:val="24"/>
                      <w:u w:val="single"/>
                    </w:rPr>
                    <w:fldChar w:fldCharType="end"/>
                  </w:r>
                  <w:r>
                    <w:rPr>
                      <w:rFonts w:hint="eastAsia" w:ascii="宋体" w:hAnsi="宋体" w:cs="宋体"/>
                      <w:color w:val="262626"/>
                      <w:kern w:val="0"/>
                      <w:sz w:val="24"/>
                      <w:szCs w:val="24"/>
                      <w:shd w:val="clear" w:color="auto" w:fill="FFFFFF"/>
                    </w:rPr>
                    <w:t>）“通知公告”栏发布。</w:t>
                  </w:r>
                </w:p>
                <w:p>
                  <w:pPr>
                    <w:widowControl/>
                    <w:spacing w:line="375" w:lineRule="atLeast"/>
                    <w:ind w:firstLine="495"/>
                    <w:jc w:val="left"/>
                    <w:rPr>
                      <w:rFonts w:hint="eastAsia" w:ascii="宋体" w:hAnsi="宋体" w:cs="宋体"/>
                      <w:color w:val="262626"/>
                      <w:kern w:val="0"/>
                      <w:sz w:val="18"/>
                      <w:szCs w:val="18"/>
                    </w:rPr>
                  </w:pPr>
                  <w:r>
                    <w:rPr>
                      <w:rFonts w:hint="eastAsia" w:ascii="宋体" w:hAnsi="宋体" w:cs="宋体"/>
                      <w:color w:val="262626"/>
                      <w:kern w:val="0"/>
                      <w:sz w:val="24"/>
                      <w:szCs w:val="24"/>
                      <w:shd w:val="clear" w:color="auto" w:fill="FFFFFF"/>
                    </w:rPr>
                    <w:t>（六）面试由学院研究生招生工作小组负责组织，面试专家组具体实施，满分为100分。面试侧重综合性、开放性的能力型测试，主要考核考生的综合分析、语言表达、外语听说等能力。同时通过考生提供的材料，加强对考生既往学业、一贯表现、科研能力、综合素质和思想品德等情况的全面考查。每位考生面试时间不少于20分钟，专业面试时间不少于10分钟。面试网络出现卡顿超过三分钟，面试时间顺延。面试专家组成员依据考生面试表现当场记名评分：每位考生的面试得分为专家组所有成员记名评分的平均分（消除组间偏差后）。面试成绩由两部分组成：</w:t>
                  </w:r>
                </w:p>
                <w:p>
                  <w:pPr>
                    <w:widowControl/>
                    <w:spacing w:line="375" w:lineRule="atLeast"/>
                    <w:ind w:firstLine="495"/>
                    <w:jc w:val="left"/>
                    <w:rPr>
                      <w:rFonts w:hint="eastAsia" w:ascii="宋体" w:hAnsi="宋体" w:cs="宋体"/>
                      <w:color w:val="262626"/>
                      <w:kern w:val="0"/>
                      <w:sz w:val="18"/>
                      <w:szCs w:val="18"/>
                    </w:rPr>
                  </w:pPr>
                  <w:r>
                    <w:rPr>
                      <w:rFonts w:hint="eastAsia" w:ascii="宋体" w:hAnsi="宋体" w:cs="宋体"/>
                      <w:color w:val="262626"/>
                      <w:kern w:val="0"/>
                      <w:sz w:val="24"/>
                      <w:szCs w:val="24"/>
                      <w:shd w:val="clear" w:color="auto" w:fill="FFFFFF"/>
                    </w:rPr>
                    <w:t>专业面试（80%）：面试专家组成员主要以提问、考生随机抽取试题的方式对考生进行面试，题目参照《安徽大学2022年硕士研究生招生专业目录》上列出的复试科目内容范围，注重加强考察考生的专业素养与创新能力。</w:t>
                  </w:r>
                </w:p>
                <w:p>
                  <w:pPr>
                    <w:widowControl/>
                    <w:spacing w:line="375" w:lineRule="atLeast"/>
                    <w:ind w:firstLine="495"/>
                    <w:jc w:val="left"/>
                    <w:rPr>
                      <w:rFonts w:hint="eastAsia" w:ascii="宋体" w:hAnsi="宋体" w:cs="宋体"/>
                      <w:color w:val="262626"/>
                      <w:kern w:val="0"/>
                      <w:sz w:val="18"/>
                      <w:szCs w:val="18"/>
                    </w:rPr>
                  </w:pPr>
                  <w:r>
                    <w:rPr>
                      <w:rFonts w:hint="eastAsia" w:ascii="宋体" w:hAnsi="宋体" w:cs="宋体"/>
                      <w:color w:val="262626"/>
                      <w:kern w:val="0"/>
                      <w:sz w:val="24"/>
                      <w:szCs w:val="24"/>
                      <w:shd w:val="clear" w:color="auto" w:fill="FFFFFF"/>
                    </w:rPr>
                    <w:t>综合素质（20%）：面试专家组依据考生提供的大学学习成绩单、毕业论文、科研成果、英语水平、获奖证书等补充材料进行评分。</w:t>
                  </w:r>
                </w:p>
                <w:p>
                  <w:pPr>
                    <w:widowControl/>
                    <w:spacing w:line="375" w:lineRule="atLeast"/>
                    <w:ind w:firstLine="495"/>
                    <w:jc w:val="left"/>
                    <w:rPr>
                      <w:rFonts w:hint="eastAsia" w:ascii="宋体" w:hAnsi="宋体" w:cs="宋体"/>
                      <w:color w:val="262626"/>
                      <w:kern w:val="0"/>
                      <w:sz w:val="18"/>
                      <w:szCs w:val="18"/>
                    </w:rPr>
                  </w:pPr>
                  <w:r>
                    <w:rPr>
                      <w:rFonts w:hint="eastAsia" w:ascii="宋体" w:hAnsi="宋体" w:cs="宋体"/>
                      <w:color w:val="262626"/>
                      <w:kern w:val="0"/>
                      <w:sz w:val="24"/>
                      <w:szCs w:val="24"/>
                      <w:shd w:val="clear" w:color="auto" w:fill="FFFFFF"/>
                    </w:rPr>
                    <w:t>（七）面试开始前，考生应配合学院完成网络远程复试软件测试与模拟演练。如因考生个人原因未进行测试，导致正式复试时出现网络设备问题，由考生承担相应后果。</w:t>
                  </w:r>
                </w:p>
                <w:p>
                  <w:pPr>
                    <w:widowControl/>
                    <w:spacing w:line="375" w:lineRule="atLeast"/>
                    <w:ind w:firstLine="495"/>
                    <w:jc w:val="left"/>
                    <w:rPr>
                      <w:rFonts w:hint="eastAsia" w:ascii="宋体" w:hAnsi="宋体" w:cs="宋体"/>
                      <w:color w:val="262626"/>
                      <w:kern w:val="0"/>
                      <w:sz w:val="18"/>
                      <w:szCs w:val="18"/>
                    </w:rPr>
                  </w:pPr>
                  <w:r>
                    <w:rPr>
                      <w:rFonts w:hint="eastAsia" w:ascii="宋体" w:hAnsi="宋体" w:cs="宋体"/>
                      <w:color w:val="262626"/>
                      <w:kern w:val="0"/>
                      <w:sz w:val="24"/>
                      <w:szCs w:val="24"/>
                      <w:shd w:val="clear" w:color="auto" w:fill="FFFFFF"/>
                    </w:rPr>
                    <w:t>（八）考生应提前40分钟登录云考场平台，进入候考室等待考试。面试时，考生应将准考证和身份证原件放在座位边以备核查。</w:t>
                  </w:r>
                </w:p>
                <w:p>
                  <w:pPr>
                    <w:widowControl/>
                    <w:spacing w:line="375" w:lineRule="atLeast"/>
                    <w:ind w:firstLine="495"/>
                    <w:jc w:val="left"/>
                    <w:rPr>
                      <w:rFonts w:hint="eastAsia" w:ascii="宋体" w:hAnsi="宋体" w:cs="宋体"/>
                      <w:color w:val="262626"/>
                      <w:kern w:val="0"/>
                      <w:sz w:val="18"/>
                      <w:szCs w:val="18"/>
                    </w:rPr>
                  </w:pPr>
                  <w:r>
                    <w:rPr>
                      <w:rFonts w:hint="eastAsia" w:ascii="宋体" w:hAnsi="宋体" w:cs="宋体"/>
                      <w:color w:val="262626"/>
                      <w:kern w:val="0"/>
                      <w:sz w:val="24"/>
                      <w:szCs w:val="24"/>
                      <w:shd w:val="clear" w:color="auto" w:fill="FFFFFF"/>
                    </w:rPr>
                    <w:t>（九）面试开始前，由面试专家组组长以抽签的方式决定该组专家的面试组号和考生的面试组号。</w:t>
                  </w:r>
                </w:p>
                <w:p>
                  <w:pPr>
                    <w:widowControl/>
                    <w:spacing w:line="375" w:lineRule="atLeast"/>
                    <w:ind w:firstLine="495"/>
                    <w:jc w:val="left"/>
                    <w:rPr>
                      <w:rFonts w:hint="eastAsia" w:ascii="宋体" w:hAnsi="宋体" w:cs="宋体"/>
                      <w:color w:val="262626"/>
                      <w:kern w:val="0"/>
                      <w:sz w:val="18"/>
                      <w:szCs w:val="18"/>
                    </w:rPr>
                  </w:pPr>
                  <w:r>
                    <w:rPr>
                      <w:rFonts w:hint="eastAsia" w:ascii="宋体" w:hAnsi="宋体" w:cs="宋体"/>
                      <w:color w:val="262626"/>
                      <w:kern w:val="0"/>
                      <w:sz w:val="24"/>
                      <w:szCs w:val="24"/>
                      <w:shd w:val="clear" w:color="auto" w:fill="FFFFFF"/>
                    </w:rPr>
                    <w:t>（十）面试开始后，候考室全场静言，考生因故需要联系候考官时，须先举手示意，等待候考官启动对话。</w:t>
                  </w:r>
                </w:p>
                <w:p>
                  <w:pPr>
                    <w:widowControl/>
                    <w:spacing w:line="375" w:lineRule="atLeast"/>
                    <w:ind w:firstLine="495"/>
                    <w:jc w:val="left"/>
                    <w:rPr>
                      <w:rFonts w:hint="eastAsia" w:ascii="宋体" w:hAnsi="宋体" w:cs="宋体"/>
                      <w:color w:val="262626"/>
                      <w:kern w:val="0"/>
                      <w:sz w:val="18"/>
                      <w:szCs w:val="18"/>
                    </w:rPr>
                  </w:pPr>
                  <w:r>
                    <w:rPr>
                      <w:rFonts w:hint="eastAsia" w:ascii="宋体" w:hAnsi="宋体" w:cs="宋体"/>
                      <w:color w:val="262626"/>
                      <w:kern w:val="0"/>
                      <w:sz w:val="24"/>
                      <w:szCs w:val="24"/>
                      <w:shd w:val="clear" w:color="auto" w:fill="FFFFFF"/>
                    </w:rPr>
                    <w:t>（十一）面试过程中，考生尝试多次均无法进入考场时，可申请开启应急考场。待考生所在主考场考试结束之后，再由面试组专家进入应急考场面试该生。</w:t>
                  </w:r>
                </w:p>
                <w:p>
                  <w:pPr>
                    <w:widowControl/>
                    <w:spacing w:line="375" w:lineRule="atLeast"/>
                    <w:ind w:firstLine="495"/>
                    <w:jc w:val="left"/>
                    <w:rPr>
                      <w:rFonts w:hint="eastAsia" w:ascii="宋体" w:hAnsi="宋体" w:cs="宋体"/>
                      <w:color w:val="262626"/>
                      <w:kern w:val="0"/>
                      <w:sz w:val="18"/>
                      <w:szCs w:val="18"/>
                    </w:rPr>
                  </w:pPr>
                  <w:r>
                    <w:rPr>
                      <w:rFonts w:hint="eastAsia" w:ascii="宋体" w:hAnsi="宋体" w:cs="宋体"/>
                      <w:color w:val="262626"/>
                      <w:kern w:val="0"/>
                      <w:sz w:val="24"/>
                      <w:szCs w:val="24"/>
                    </w:rPr>
                    <w:t>（十二）没有本科学历和学士学位（普通高等学校应届本科毕业生除外），应当加试两门与报考专业相关的本科主干课程（非法学法律硕士、公共管理硕士、工商管理硕士和单独考试除外）。加试由管理学院线上组织并监考，在规定时间将笔试试题电子版通过屏幕共享给考生，考生在“双机位”环境下开卷考试（不可查看电子设备）。每门课程考试时间120分钟，满分为100分。加试的每门课程得分达到60分为合格，不计入总得分。考生在加试笔试期间，网络卡顿超过10分钟，则需重新组织换题考试。</w:t>
                  </w:r>
                </w:p>
                <w:p>
                  <w:pPr>
                    <w:widowControl/>
                    <w:spacing w:line="270" w:lineRule="atLeast"/>
                    <w:jc w:val="left"/>
                    <w:rPr>
                      <w:rFonts w:hint="eastAsia" w:ascii="宋体" w:hAnsi="宋体" w:cs="宋体"/>
                      <w:color w:val="262626"/>
                      <w:kern w:val="0"/>
                      <w:sz w:val="18"/>
                      <w:szCs w:val="18"/>
                    </w:rPr>
                  </w:pPr>
                  <w:r>
                    <w:rPr>
                      <w:rFonts w:hint="eastAsia" w:ascii="宋体" w:hAnsi="宋体" w:cs="宋体"/>
                      <w:color w:val="262626"/>
                      <w:kern w:val="0"/>
                      <w:sz w:val="24"/>
                      <w:szCs w:val="24"/>
                    </w:rPr>
                    <w:t>（十三）参加管理类联考的考生关注“安徽大学研究生招生”公众号，3月30日18:00-20:00通过小程序参加政治理论开卷考试。考生需在接收考题后，使用A4纸手写作答(便于开学后比对笔迹）。学校将通过短信平台提醒考生，在同一时间内将考题发送至考生邮箱（手机号码、邮箱有变动的考生务必在规定时间内进入微信小程序修改）。试题发送时间为3月30日18:00，5分钟后视为开始考试，考试时间为120分钟；逾期（以3月30日20：00为准）或不满60分视为不合格。</w:t>
                  </w:r>
                </w:p>
                <w:p>
                  <w:pPr>
                    <w:widowControl/>
                    <w:spacing w:line="375" w:lineRule="atLeast"/>
                    <w:ind w:firstLine="555"/>
                    <w:jc w:val="left"/>
                    <w:rPr>
                      <w:rFonts w:hint="eastAsia" w:ascii="宋体" w:hAnsi="宋体" w:cs="宋体"/>
                      <w:color w:val="262626"/>
                      <w:kern w:val="0"/>
                      <w:sz w:val="18"/>
                      <w:szCs w:val="18"/>
                    </w:rPr>
                  </w:pPr>
                  <w:r>
                    <w:rPr>
                      <w:rFonts w:hint="eastAsia" w:ascii="宋体" w:hAnsi="宋体" w:cs="宋体"/>
                      <w:b/>
                      <w:bCs/>
                      <w:color w:val="262626"/>
                      <w:spacing w:val="15"/>
                      <w:kern w:val="0"/>
                      <w:sz w:val="24"/>
                      <w:szCs w:val="24"/>
                      <w:shd w:val="clear" w:color="auto" w:fill="FFFFFF"/>
                    </w:rPr>
                    <w:t>二、录取</w:t>
                  </w:r>
                </w:p>
                <w:p>
                  <w:pPr>
                    <w:widowControl/>
                    <w:spacing w:line="375" w:lineRule="atLeast"/>
                    <w:ind w:firstLine="567"/>
                    <w:jc w:val="left"/>
                    <w:rPr>
                      <w:rFonts w:hint="eastAsia" w:ascii="宋体" w:hAnsi="宋体" w:cs="宋体"/>
                      <w:color w:val="262626"/>
                      <w:kern w:val="0"/>
                      <w:sz w:val="18"/>
                      <w:szCs w:val="18"/>
                    </w:rPr>
                  </w:pPr>
                  <w:r>
                    <w:rPr>
                      <w:rFonts w:hint="eastAsia" w:ascii="宋体" w:hAnsi="宋体" w:cs="宋体"/>
                      <w:color w:val="262626"/>
                      <w:kern w:val="0"/>
                      <w:sz w:val="24"/>
                      <w:szCs w:val="24"/>
                      <w:shd w:val="clear" w:color="auto" w:fill="FFFFFF"/>
                    </w:rPr>
                    <w:t>（一）考生总得分</w:t>
                  </w:r>
                </w:p>
                <w:p>
                  <w:pPr>
                    <w:widowControl/>
                    <w:spacing w:line="375" w:lineRule="atLeast"/>
                    <w:ind w:firstLine="567"/>
                    <w:jc w:val="left"/>
                    <w:rPr>
                      <w:rFonts w:hint="eastAsia" w:ascii="宋体" w:hAnsi="宋体" w:cs="宋体"/>
                      <w:color w:val="262626"/>
                      <w:kern w:val="0"/>
                      <w:sz w:val="18"/>
                      <w:szCs w:val="18"/>
                    </w:rPr>
                  </w:pPr>
                  <w:r>
                    <w:rPr>
                      <w:rFonts w:hint="eastAsia" w:ascii="宋体" w:hAnsi="宋体" w:cs="宋体"/>
                      <w:color w:val="262626"/>
                      <w:kern w:val="0"/>
                      <w:sz w:val="24"/>
                      <w:szCs w:val="24"/>
                      <w:shd w:val="clear" w:color="auto" w:fill="FFFFFF"/>
                    </w:rPr>
                    <w:t>考生的初试总分（初试政治理论课、外国语可课、业务课一和业务课二成绩）、复试总分分别当量折算后相加即为考生总得分。管理类联考各专业面试中的复试政治理论课达到60分即为合格，不计入总得分。</w:t>
                  </w:r>
                </w:p>
                <w:p>
                  <w:pPr>
                    <w:widowControl/>
                    <w:spacing w:line="375" w:lineRule="atLeast"/>
                    <w:ind w:firstLine="567"/>
                    <w:jc w:val="left"/>
                    <w:rPr>
                      <w:rFonts w:hint="eastAsia" w:ascii="宋体" w:hAnsi="宋体" w:cs="宋体"/>
                      <w:color w:val="262626"/>
                      <w:kern w:val="0"/>
                      <w:sz w:val="18"/>
                      <w:szCs w:val="18"/>
                    </w:rPr>
                  </w:pPr>
                  <w:r>
                    <w:rPr>
                      <w:rFonts w:hint="eastAsia" w:ascii="宋体" w:hAnsi="宋体" w:cs="宋体"/>
                      <w:color w:val="262626"/>
                      <w:kern w:val="0"/>
                      <w:sz w:val="24"/>
                      <w:szCs w:val="24"/>
                      <w:shd w:val="clear" w:color="auto" w:fill="FFFFFF"/>
                    </w:rPr>
                    <w:t>考生总得分计算办法如下：</w:t>
                  </w:r>
                </w:p>
                <w:p>
                  <w:pPr>
                    <w:widowControl/>
                    <w:spacing w:line="375" w:lineRule="atLeast"/>
                    <w:ind w:firstLine="567"/>
                    <w:jc w:val="left"/>
                    <w:rPr>
                      <w:rFonts w:hint="eastAsia" w:ascii="宋体" w:hAnsi="宋体" w:cs="宋体"/>
                      <w:color w:val="262626"/>
                      <w:kern w:val="0"/>
                      <w:sz w:val="18"/>
                      <w:szCs w:val="18"/>
                    </w:rPr>
                  </w:pPr>
                  <w:r>
                    <w:rPr>
                      <w:rFonts w:hint="eastAsia" w:ascii="宋体" w:hAnsi="宋体" w:cs="宋体"/>
                      <w:color w:val="262626"/>
                      <w:kern w:val="0"/>
                      <w:sz w:val="24"/>
                      <w:szCs w:val="24"/>
                      <w:shd w:val="clear" w:color="auto" w:fill="FFFFFF"/>
                    </w:rPr>
                    <w:t>1.初试卷面总分为500分的考生，初试成绩除以5之后的得分，乘以60%，即为初试当量折算分。</w:t>
                  </w:r>
                </w:p>
                <w:p>
                  <w:pPr>
                    <w:widowControl/>
                    <w:spacing w:line="375" w:lineRule="atLeast"/>
                    <w:ind w:firstLine="567"/>
                    <w:jc w:val="left"/>
                    <w:rPr>
                      <w:rFonts w:hint="eastAsia" w:ascii="宋体" w:hAnsi="宋体" w:cs="宋体"/>
                      <w:color w:val="262626"/>
                      <w:kern w:val="0"/>
                      <w:sz w:val="18"/>
                      <w:szCs w:val="18"/>
                    </w:rPr>
                  </w:pPr>
                  <w:r>
                    <w:rPr>
                      <w:rFonts w:hint="eastAsia" w:ascii="宋体" w:hAnsi="宋体" w:cs="宋体"/>
                      <w:color w:val="262626"/>
                      <w:kern w:val="0"/>
                      <w:sz w:val="24"/>
                      <w:szCs w:val="24"/>
                      <w:shd w:val="clear" w:color="auto" w:fill="FFFFFF"/>
                    </w:rPr>
                    <w:t>2.初试卷面总分为300分的考生，初试成绩除以3之后的得分，乘以60%，即为初试当量折算分。</w:t>
                  </w:r>
                </w:p>
                <w:p>
                  <w:pPr>
                    <w:widowControl/>
                    <w:spacing w:line="375" w:lineRule="atLeast"/>
                    <w:ind w:firstLine="567"/>
                    <w:jc w:val="left"/>
                    <w:rPr>
                      <w:rFonts w:hint="eastAsia" w:ascii="宋体" w:hAnsi="宋体" w:cs="宋体"/>
                      <w:color w:val="262626"/>
                      <w:kern w:val="0"/>
                      <w:sz w:val="18"/>
                      <w:szCs w:val="18"/>
                    </w:rPr>
                  </w:pPr>
                  <w:r>
                    <w:rPr>
                      <w:rFonts w:hint="eastAsia" w:ascii="宋体" w:hAnsi="宋体" w:cs="宋体"/>
                      <w:color w:val="262626"/>
                      <w:kern w:val="0"/>
                      <w:sz w:val="24"/>
                      <w:szCs w:val="24"/>
                      <w:shd w:val="clear" w:color="auto" w:fill="FFFFFF"/>
                    </w:rPr>
                    <w:t>3.考生专业面试和综合素质总得分乘以40%，即为复试当量折算分。</w:t>
                  </w:r>
                </w:p>
                <w:p>
                  <w:pPr>
                    <w:widowControl/>
                    <w:spacing w:line="375" w:lineRule="atLeast"/>
                    <w:ind w:firstLine="567"/>
                    <w:jc w:val="left"/>
                    <w:rPr>
                      <w:rFonts w:hint="eastAsia" w:ascii="宋体" w:hAnsi="宋体" w:cs="宋体"/>
                      <w:color w:val="262626"/>
                      <w:kern w:val="0"/>
                      <w:sz w:val="18"/>
                      <w:szCs w:val="18"/>
                    </w:rPr>
                  </w:pPr>
                  <w:r>
                    <w:rPr>
                      <w:rFonts w:hint="eastAsia" w:ascii="宋体" w:hAnsi="宋体" w:cs="宋体"/>
                      <w:color w:val="262626"/>
                      <w:kern w:val="0"/>
                      <w:sz w:val="24"/>
                      <w:szCs w:val="24"/>
                      <w:shd w:val="clear" w:color="auto" w:fill="FFFFFF"/>
                    </w:rPr>
                    <w:t>4.考生总得分为初试当量折算分与复试当量折算分之和。</w:t>
                  </w:r>
                </w:p>
                <w:p>
                  <w:pPr>
                    <w:widowControl/>
                    <w:spacing w:line="375" w:lineRule="atLeast"/>
                    <w:ind w:firstLine="567"/>
                    <w:jc w:val="left"/>
                    <w:rPr>
                      <w:rFonts w:hint="eastAsia" w:ascii="宋体" w:hAnsi="宋体" w:cs="宋体"/>
                      <w:color w:val="262626"/>
                      <w:kern w:val="0"/>
                      <w:sz w:val="18"/>
                      <w:szCs w:val="18"/>
                    </w:rPr>
                  </w:pPr>
                  <w:r>
                    <w:rPr>
                      <w:rFonts w:hint="eastAsia" w:ascii="宋体" w:hAnsi="宋体" w:cs="宋体"/>
                      <w:color w:val="262626"/>
                      <w:kern w:val="0"/>
                      <w:sz w:val="24"/>
                      <w:szCs w:val="24"/>
                      <w:shd w:val="clear" w:color="auto" w:fill="FFFFFF"/>
                    </w:rPr>
                    <w:t>5.政策性加分，计入初试成绩总分，折算为百分制乘以60%后计入考生总得分（符合教育部加分规定的考生需在规定时间向我校研招办提交书面证明材料）。</w:t>
                  </w:r>
                </w:p>
                <w:p>
                  <w:pPr>
                    <w:widowControl/>
                    <w:spacing w:line="375" w:lineRule="atLeast"/>
                    <w:ind w:firstLine="567"/>
                    <w:jc w:val="left"/>
                    <w:rPr>
                      <w:rFonts w:hint="eastAsia" w:ascii="宋体" w:hAnsi="宋体" w:cs="宋体"/>
                      <w:color w:val="262626"/>
                      <w:kern w:val="0"/>
                      <w:sz w:val="18"/>
                      <w:szCs w:val="18"/>
                    </w:rPr>
                  </w:pPr>
                  <w:r>
                    <w:rPr>
                      <w:rFonts w:hint="eastAsia" w:ascii="宋体" w:hAnsi="宋体" w:cs="宋体"/>
                      <w:color w:val="262626"/>
                      <w:kern w:val="0"/>
                      <w:sz w:val="24"/>
                      <w:szCs w:val="24"/>
                      <w:shd w:val="clear" w:color="auto" w:fill="FFFFFF"/>
                    </w:rPr>
                    <w:t>6.参加“退役大学生士兵”专项计划考生，对初试总分未达到国家线，可向我校申请调剂到普通计划，按规定享受初试加分政策：“高校学生应征入伍服现役退役，达到报考条件后，3年内参加全国硕士研究生招生考试的考生，初试总分加10分，同等条件下优先录取”。</w:t>
                  </w:r>
                </w:p>
                <w:p>
                  <w:pPr>
                    <w:widowControl/>
                    <w:spacing w:line="375" w:lineRule="atLeast"/>
                    <w:ind w:firstLine="567"/>
                    <w:jc w:val="left"/>
                    <w:rPr>
                      <w:rFonts w:hint="eastAsia" w:ascii="宋体" w:hAnsi="宋体" w:cs="宋体"/>
                      <w:color w:val="262626"/>
                      <w:kern w:val="0"/>
                      <w:sz w:val="18"/>
                      <w:szCs w:val="18"/>
                    </w:rPr>
                  </w:pPr>
                  <w:r>
                    <w:rPr>
                      <w:rFonts w:hint="eastAsia" w:ascii="宋体" w:hAnsi="宋体" w:cs="宋体"/>
                      <w:color w:val="262626"/>
                      <w:kern w:val="0"/>
                      <w:sz w:val="24"/>
                      <w:szCs w:val="24"/>
                      <w:shd w:val="clear" w:color="auto" w:fill="FFFFFF"/>
                    </w:rPr>
                    <w:t>7.非全日制硕士研究生招收在职定向人员。</w:t>
                  </w:r>
                </w:p>
                <w:p>
                  <w:pPr>
                    <w:widowControl/>
                    <w:spacing w:line="375" w:lineRule="atLeast"/>
                    <w:ind w:firstLine="567"/>
                    <w:jc w:val="left"/>
                    <w:rPr>
                      <w:rFonts w:hint="eastAsia" w:ascii="宋体" w:hAnsi="宋体" w:cs="宋体"/>
                      <w:color w:val="262626"/>
                      <w:kern w:val="0"/>
                      <w:sz w:val="18"/>
                      <w:szCs w:val="18"/>
                    </w:rPr>
                  </w:pPr>
                  <w:r>
                    <w:rPr>
                      <w:rFonts w:hint="eastAsia" w:ascii="宋体" w:hAnsi="宋体" w:cs="宋体"/>
                      <w:color w:val="262626"/>
                      <w:kern w:val="0"/>
                      <w:sz w:val="24"/>
                      <w:szCs w:val="24"/>
                      <w:shd w:val="clear" w:color="auto" w:fill="FFFFFF"/>
                    </w:rPr>
                    <w:t>（二）学校研究生招生办公室按一级学科根据招生计划、总得分高低，依次确定拟录取名单（考生的总得分相同时，按初试成绩总分高低依次录取；考生的总得分、初试成绩总分均相同时，按复试面试得分高低依次录取）。</w:t>
                  </w:r>
                </w:p>
                <w:p>
                  <w:pPr>
                    <w:widowControl/>
                    <w:spacing w:line="375" w:lineRule="atLeast"/>
                    <w:ind w:firstLine="567"/>
                    <w:jc w:val="left"/>
                    <w:rPr>
                      <w:rFonts w:hint="eastAsia" w:ascii="宋体" w:hAnsi="宋体" w:cs="宋体"/>
                      <w:color w:val="262626"/>
                      <w:kern w:val="0"/>
                      <w:sz w:val="18"/>
                      <w:szCs w:val="18"/>
                    </w:rPr>
                  </w:pPr>
                  <w:r>
                    <w:rPr>
                      <w:rFonts w:hint="eastAsia" w:ascii="宋体" w:hAnsi="宋体" w:cs="宋体"/>
                      <w:color w:val="262626"/>
                      <w:kern w:val="0"/>
                      <w:sz w:val="24"/>
                      <w:szCs w:val="24"/>
                      <w:shd w:val="clear" w:color="auto" w:fill="FFFFFF"/>
                    </w:rPr>
                    <w:t>（三）有以下情况之一的考生，不予录取：</w:t>
                  </w:r>
                </w:p>
                <w:p>
                  <w:pPr>
                    <w:widowControl/>
                    <w:spacing w:line="375" w:lineRule="atLeast"/>
                    <w:ind w:firstLine="567"/>
                    <w:jc w:val="left"/>
                    <w:rPr>
                      <w:rFonts w:hint="eastAsia" w:ascii="宋体" w:hAnsi="宋体" w:cs="宋体"/>
                      <w:color w:val="262626"/>
                      <w:kern w:val="0"/>
                      <w:sz w:val="18"/>
                      <w:szCs w:val="18"/>
                    </w:rPr>
                  </w:pPr>
                  <w:r>
                    <w:rPr>
                      <w:rFonts w:hint="eastAsia" w:ascii="宋体" w:hAnsi="宋体" w:cs="宋体"/>
                      <w:color w:val="262626"/>
                      <w:kern w:val="0"/>
                      <w:sz w:val="24"/>
                      <w:szCs w:val="24"/>
                      <w:shd w:val="clear" w:color="auto" w:fill="FFFFFF"/>
                    </w:rPr>
                    <w:t>1.复试面试或加试者低于60分的。</w:t>
                  </w:r>
                </w:p>
                <w:p>
                  <w:pPr>
                    <w:widowControl/>
                    <w:spacing w:line="375" w:lineRule="atLeast"/>
                    <w:ind w:firstLine="567"/>
                    <w:jc w:val="left"/>
                    <w:rPr>
                      <w:rFonts w:hint="eastAsia" w:ascii="宋体" w:hAnsi="宋体" w:cs="宋体"/>
                      <w:color w:val="262626"/>
                      <w:kern w:val="0"/>
                      <w:sz w:val="18"/>
                      <w:szCs w:val="18"/>
                    </w:rPr>
                  </w:pPr>
                  <w:r>
                    <w:rPr>
                      <w:rFonts w:hint="eastAsia" w:ascii="宋体" w:hAnsi="宋体" w:cs="宋体"/>
                      <w:color w:val="262626"/>
                      <w:kern w:val="0"/>
                      <w:sz w:val="24"/>
                      <w:szCs w:val="24"/>
                      <w:shd w:val="clear" w:color="auto" w:fill="FFFFFF"/>
                    </w:rPr>
                    <w:t>2.思想政治素质和品德考核不合格的。</w:t>
                  </w:r>
                </w:p>
                <w:p>
                  <w:pPr>
                    <w:widowControl/>
                    <w:spacing w:line="375" w:lineRule="atLeast"/>
                    <w:ind w:firstLine="567"/>
                    <w:jc w:val="left"/>
                    <w:rPr>
                      <w:rFonts w:hint="eastAsia" w:ascii="宋体" w:hAnsi="宋体" w:cs="宋体"/>
                      <w:color w:val="262626"/>
                      <w:kern w:val="0"/>
                      <w:sz w:val="18"/>
                      <w:szCs w:val="18"/>
                    </w:rPr>
                  </w:pPr>
                  <w:r>
                    <w:rPr>
                      <w:rFonts w:hint="eastAsia" w:ascii="宋体" w:hAnsi="宋体" w:cs="宋体"/>
                      <w:color w:val="262626"/>
                      <w:kern w:val="0"/>
                      <w:sz w:val="24"/>
                      <w:szCs w:val="24"/>
                      <w:shd w:val="clear" w:color="auto" w:fill="FFFFFF"/>
                    </w:rPr>
                    <w:t>3.已接受其它招生单位“待录取”的。</w:t>
                  </w:r>
                </w:p>
                <w:p>
                  <w:pPr>
                    <w:widowControl/>
                    <w:spacing w:line="375" w:lineRule="atLeast"/>
                    <w:ind w:firstLine="567"/>
                    <w:jc w:val="left"/>
                    <w:rPr>
                      <w:rFonts w:hint="eastAsia" w:ascii="宋体" w:hAnsi="宋体" w:cs="宋体"/>
                      <w:color w:val="262626"/>
                      <w:kern w:val="0"/>
                      <w:sz w:val="18"/>
                      <w:szCs w:val="18"/>
                    </w:rPr>
                  </w:pPr>
                  <w:r>
                    <w:rPr>
                      <w:rFonts w:hint="eastAsia" w:ascii="宋体" w:hAnsi="宋体" w:cs="宋体"/>
                      <w:color w:val="262626"/>
                      <w:kern w:val="0"/>
                      <w:sz w:val="24"/>
                      <w:szCs w:val="24"/>
                      <w:shd w:val="clear" w:color="auto" w:fill="FFFFFF"/>
                    </w:rPr>
                    <w:t>4.资格审查未通过或提供虚假信息的。</w:t>
                  </w:r>
                </w:p>
                <w:p>
                  <w:pPr>
                    <w:widowControl/>
                    <w:spacing w:line="375" w:lineRule="atLeast"/>
                    <w:ind w:firstLine="567"/>
                    <w:jc w:val="left"/>
                    <w:rPr>
                      <w:rFonts w:hint="eastAsia" w:ascii="宋体" w:hAnsi="宋体" w:cs="宋体"/>
                      <w:color w:val="262626"/>
                      <w:kern w:val="0"/>
                      <w:sz w:val="18"/>
                      <w:szCs w:val="18"/>
                    </w:rPr>
                  </w:pPr>
                  <w:r>
                    <w:rPr>
                      <w:rFonts w:hint="eastAsia" w:ascii="宋体" w:hAnsi="宋体" w:cs="宋体"/>
                      <w:color w:val="262626"/>
                      <w:kern w:val="0"/>
                      <w:sz w:val="24"/>
                      <w:szCs w:val="24"/>
                      <w:shd w:val="clear" w:color="auto" w:fill="FFFFFF"/>
                    </w:rPr>
                    <w:t>5.网络远程面试时有违规行为的。</w:t>
                  </w:r>
                </w:p>
                <w:p>
                  <w:pPr>
                    <w:widowControl/>
                    <w:spacing w:line="375" w:lineRule="atLeast"/>
                    <w:ind w:firstLine="567"/>
                    <w:jc w:val="left"/>
                    <w:rPr>
                      <w:rFonts w:hint="eastAsia" w:ascii="宋体" w:hAnsi="宋体" w:cs="宋体"/>
                      <w:color w:val="262626"/>
                      <w:kern w:val="0"/>
                      <w:sz w:val="18"/>
                      <w:szCs w:val="18"/>
                    </w:rPr>
                  </w:pPr>
                  <w:r>
                    <w:rPr>
                      <w:rFonts w:hint="eastAsia" w:ascii="宋体" w:hAnsi="宋体" w:cs="宋体"/>
                      <w:color w:val="262626"/>
                      <w:kern w:val="0"/>
                      <w:sz w:val="24"/>
                      <w:szCs w:val="24"/>
                      <w:shd w:val="clear" w:color="auto" w:fill="FFFFFF"/>
                    </w:rPr>
                    <w:t>三、体检</w:t>
                  </w:r>
                </w:p>
                <w:p>
                  <w:pPr>
                    <w:widowControl/>
                    <w:spacing w:line="375" w:lineRule="atLeast"/>
                    <w:ind w:firstLine="567"/>
                    <w:jc w:val="left"/>
                    <w:rPr>
                      <w:rFonts w:hint="eastAsia" w:ascii="宋体" w:hAnsi="宋体" w:cs="宋体"/>
                      <w:color w:val="262626"/>
                      <w:kern w:val="0"/>
                      <w:sz w:val="18"/>
                      <w:szCs w:val="18"/>
                    </w:rPr>
                  </w:pPr>
                  <w:r>
                    <w:rPr>
                      <w:rFonts w:hint="eastAsia" w:ascii="宋体" w:hAnsi="宋体" w:cs="宋体"/>
                      <w:color w:val="262626"/>
                      <w:kern w:val="0"/>
                      <w:sz w:val="24"/>
                      <w:szCs w:val="24"/>
                      <w:shd w:val="clear" w:color="auto" w:fill="FFFFFF"/>
                    </w:rPr>
                    <w:t>拟录取考生在开学后进行体检。体检标准参照教育部、原卫生部、中国残联印发的《普通高等学校 招生体检工作指导意见》（教学〔2003〕3 号）要求，按照《教育部 办公厅 卫生部办公厅关于普通高等学校招生学生入学身体检查取 消乙肝项目检测有关问题的通知》（教学厅〔2010〕2 号）规定执行。</w:t>
                  </w:r>
                </w:p>
                <w:p>
                  <w:pPr>
                    <w:widowControl/>
                    <w:spacing w:line="375" w:lineRule="atLeast"/>
                    <w:ind w:firstLine="567"/>
                    <w:jc w:val="left"/>
                    <w:rPr>
                      <w:rFonts w:hint="eastAsia" w:ascii="宋体" w:hAnsi="宋体" w:cs="宋体"/>
                      <w:color w:val="262626"/>
                      <w:kern w:val="0"/>
                      <w:sz w:val="18"/>
                      <w:szCs w:val="18"/>
                    </w:rPr>
                  </w:pPr>
                  <w:r>
                    <w:rPr>
                      <w:rFonts w:hint="eastAsia" w:ascii="宋体" w:hAnsi="宋体" w:cs="宋体"/>
                      <w:color w:val="262626"/>
                      <w:kern w:val="0"/>
                      <w:sz w:val="24"/>
                      <w:szCs w:val="24"/>
                      <w:shd w:val="clear" w:color="auto" w:fill="FFFFFF"/>
                    </w:rPr>
                    <w:t>四、其他</w:t>
                  </w:r>
                </w:p>
                <w:p>
                  <w:pPr>
                    <w:widowControl/>
                    <w:spacing w:line="375" w:lineRule="atLeast"/>
                    <w:ind w:firstLine="567"/>
                    <w:jc w:val="left"/>
                    <w:rPr>
                      <w:rFonts w:hint="eastAsia" w:ascii="宋体" w:hAnsi="宋体" w:cs="宋体"/>
                      <w:color w:val="262626"/>
                      <w:kern w:val="0"/>
                      <w:sz w:val="18"/>
                      <w:szCs w:val="18"/>
                    </w:rPr>
                  </w:pPr>
                  <w:r>
                    <w:rPr>
                      <w:rFonts w:hint="eastAsia" w:ascii="宋体" w:hAnsi="宋体" w:cs="宋体"/>
                      <w:color w:val="262626"/>
                      <w:kern w:val="0"/>
                      <w:sz w:val="24"/>
                      <w:szCs w:val="24"/>
                      <w:shd w:val="clear" w:color="auto" w:fill="FFFFFF"/>
                    </w:rPr>
                    <w:t>（一）招生计划、复试名单、拟录取名单等在安徽大学研究生院网站公示，网址：http://yz.ahu.edu.cn。对复试和录取工作全过程涉及的违法违规行为的举报，由督查组统一受理并按照有关规定进行查处（监督电话：0551—63861581，电子邮箱:jwb@ahu.edu.cn）。</w:t>
                  </w:r>
                </w:p>
                <w:p>
                  <w:pPr>
                    <w:widowControl/>
                    <w:spacing w:line="375" w:lineRule="atLeast"/>
                    <w:ind w:firstLine="567"/>
                    <w:jc w:val="left"/>
                    <w:rPr>
                      <w:rFonts w:hint="eastAsia" w:ascii="宋体" w:hAnsi="宋体" w:cs="宋体"/>
                      <w:color w:val="262626"/>
                      <w:kern w:val="0"/>
                      <w:sz w:val="18"/>
                      <w:szCs w:val="18"/>
                    </w:rPr>
                  </w:pPr>
                  <w:r>
                    <w:rPr>
                      <w:rFonts w:hint="eastAsia" w:ascii="宋体" w:hAnsi="宋体" w:cs="宋体"/>
                      <w:color w:val="262626"/>
                      <w:kern w:val="0"/>
                      <w:sz w:val="24"/>
                      <w:szCs w:val="24"/>
                      <w:shd w:val="clear" w:color="auto" w:fill="FFFFFF"/>
                    </w:rPr>
                    <w:t>（二）本实施细则由学院研究生教学办公室负责解释（咨询电话：0551—65107443;65108858）。 </w:t>
                  </w:r>
                </w:p>
                <w:p>
                  <w:pPr>
                    <w:widowControl/>
                    <w:spacing w:line="375" w:lineRule="atLeast"/>
                    <w:ind w:firstLine="5280"/>
                    <w:jc w:val="right"/>
                    <w:rPr>
                      <w:rFonts w:hint="eastAsia" w:ascii="宋体" w:hAnsi="宋体" w:cs="宋体"/>
                      <w:color w:val="262626"/>
                      <w:kern w:val="0"/>
                      <w:sz w:val="18"/>
                      <w:szCs w:val="18"/>
                    </w:rPr>
                  </w:pPr>
                  <w:r>
                    <w:rPr>
                      <w:rFonts w:hint="eastAsia" w:ascii="宋体" w:hAnsi="宋体" w:cs="宋体"/>
                      <w:color w:val="262626"/>
                      <w:kern w:val="0"/>
                      <w:sz w:val="24"/>
                      <w:szCs w:val="24"/>
                    </w:rPr>
                    <w:t> </w:t>
                  </w:r>
                </w:p>
                <w:p>
                  <w:pPr>
                    <w:widowControl/>
                    <w:spacing w:line="375" w:lineRule="atLeast"/>
                    <w:ind w:firstLine="5280"/>
                    <w:jc w:val="right"/>
                    <w:rPr>
                      <w:rFonts w:hint="eastAsia" w:ascii="宋体" w:hAnsi="宋体" w:cs="宋体"/>
                      <w:color w:val="262626"/>
                      <w:kern w:val="0"/>
                      <w:sz w:val="18"/>
                      <w:szCs w:val="18"/>
                    </w:rPr>
                  </w:pPr>
                  <w:r>
                    <w:rPr>
                      <w:rFonts w:hint="eastAsia" w:ascii="宋体" w:hAnsi="宋体" w:cs="宋体"/>
                      <w:color w:val="262626"/>
                      <w:kern w:val="0"/>
                      <w:sz w:val="24"/>
                      <w:szCs w:val="24"/>
                      <w:shd w:val="clear" w:color="auto" w:fill="FFFFFF"/>
                    </w:rPr>
                    <w:t>安徽大学管理学院</w:t>
                  </w:r>
                </w:p>
                <w:p>
                  <w:pPr>
                    <w:widowControl/>
                    <w:spacing w:line="375" w:lineRule="atLeast"/>
                    <w:ind w:firstLine="5160"/>
                    <w:jc w:val="right"/>
                    <w:rPr>
                      <w:rFonts w:hint="eastAsia" w:ascii="宋体" w:hAnsi="宋体" w:cs="宋体"/>
                      <w:color w:val="262626"/>
                      <w:kern w:val="0"/>
                      <w:sz w:val="18"/>
                      <w:szCs w:val="18"/>
                    </w:rPr>
                  </w:pPr>
                  <w:r>
                    <w:rPr>
                      <w:rFonts w:hint="eastAsia" w:ascii="宋体" w:hAnsi="宋体" w:cs="宋体"/>
                      <w:color w:val="262626"/>
                      <w:kern w:val="0"/>
                      <w:sz w:val="24"/>
                      <w:szCs w:val="24"/>
                      <w:shd w:val="clear" w:color="auto" w:fill="FFFFFF"/>
                    </w:rPr>
                    <w:t>2022年3月28日</w:t>
                  </w:r>
                </w:p>
                <w:p>
                  <w:pPr>
                    <w:widowControl/>
                    <w:spacing w:line="360" w:lineRule="atLeast"/>
                    <w:jc w:val="left"/>
                    <w:rPr>
                      <w:rFonts w:hint="eastAsia" w:ascii="宋体" w:hAnsi="宋体" w:cs="宋体"/>
                      <w:color w:val="262626"/>
                      <w:kern w:val="0"/>
                      <w:sz w:val="18"/>
                      <w:szCs w:val="18"/>
                    </w:rPr>
                  </w:pPr>
                </w:p>
              </w:tc>
            </w:tr>
          </w:tbl>
          <w:p>
            <w:pPr>
              <w:widowControl/>
              <w:spacing w:line="360" w:lineRule="atLeast"/>
              <w:jc w:val="left"/>
              <w:rPr>
                <w:rFonts w:hint="eastAsia" w:ascii="宋体" w:hAnsi="宋体" w:cs="宋体"/>
                <w:color w:val="262626"/>
                <w:kern w:val="0"/>
                <w:szCs w:val="21"/>
              </w:rPr>
            </w:pPr>
          </w:p>
        </w:tc>
        <w:tc>
          <w:tcPr>
            <w:tcW w:w="1485" w:type="dxa"/>
            <w:shd w:val="clear" w:color="auto" w:fill="FFFFFF"/>
          </w:tcPr>
          <w:p>
            <w:pPr>
              <w:widowControl/>
              <w:jc w:val="left"/>
              <w:rPr>
                <w:rFonts w:ascii="宋体" w:hAnsi="宋体" w:cs="宋体"/>
                <w:color w:val="262626"/>
                <w:kern w:val="0"/>
                <w:sz w:val="18"/>
                <w:szCs w:val="18"/>
              </w:rPr>
            </w:pPr>
            <w:r>
              <w:rPr>
                <w:rFonts w:hint="eastAsia" w:ascii="宋体" w:hAnsi="宋体" w:cs="宋体"/>
                <w:color w:val="262626"/>
                <w:kern w:val="0"/>
                <w:sz w:val="18"/>
                <w:szCs w:val="18"/>
              </w:rPr>
              <w:t> </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A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characterSpacingControl w:val="doNotCompress"/>
  <w:compat>
    <w:useFELayout/>
    <w:compatSetting w:name="compatibilityMode" w:uri="http://schemas.microsoft.com/office/word" w:val="12"/>
  </w:compat>
  <w:rsids>
    <w:rsidRoot w:val="00484EF0"/>
    <w:rsid w:val="002E0B17"/>
    <w:rsid w:val="003B2A00"/>
    <w:rsid w:val="00484EF0"/>
    <w:rsid w:val="006775C6"/>
    <w:rsid w:val="00710919"/>
    <w:rsid w:val="4E041F29"/>
    <w:rsid w:val="6A7C41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character" w:styleId="5">
    <w:name w:val="Strong"/>
    <w:basedOn w:val="4"/>
    <w:qFormat/>
    <w:uiPriority w:val="22"/>
    <w:rPr>
      <w:b/>
      <w:bCs/>
    </w:rPr>
  </w:style>
  <w:style w:type="character" w:styleId="6">
    <w:name w:val="Hyperlink"/>
    <w:basedOn w:val="4"/>
    <w:semiHidden/>
    <w:unhideWhenUsed/>
    <w:qFormat/>
    <w:uiPriority w:val="99"/>
    <w:rPr>
      <w:color w:val="0000FF"/>
      <w:u w:val="single"/>
    </w:rPr>
  </w:style>
  <w:style w:type="character" w:customStyle="1" w:styleId="7">
    <w:name w:val="wp_visitcount"/>
    <w:basedOn w:val="4"/>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3035</Words>
  <Characters>3230</Characters>
  <Lines>23</Lines>
  <Paragraphs>6</Paragraphs>
  <TotalTime>1</TotalTime>
  <ScaleCrop>false</ScaleCrop>
  <LinksUpToDate>false</LinksUpToDate>
  <CharactersWithSpaces>3246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2022-03-28T13:57:00Z</dcterms:created>
  <dc:creator>LC</dc:creator>
  <cp:lastModifiedBy>Administrator</cp:lastModifiedBy>
  <dcterms:modified xsi:type="dcterms:W3CDTF">2022-03-29T07:27:43Z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04B7D44270B74E019A339CE1A4B13FCE</vt:lpwstr>
  </property>
</Properties>
</file>