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bCs/>
          <w:color w:val="FF0000"/>
          <w:spacing w:val="-20"/>
          <w:sz w:val="62"/>
          <w:szCs w:val="52"/>
        </w:rPr>
      </w:pPr>
      <w:r>
        <w:rPr>
          <w:rFonts w:hint="eastAsia" w:ascii="华文中宋" w:hAnsi="华文中宋" w:eastAsia="华文中宋"/>
          <w:b/>
          <w:bCs/>
          <w:color w:val="FF0000"/>
          <w:spacing w:val="-20"/>
          <w:sz w:val="62"/>
          <w:szCs w:val="52"/>
        </w:rPr>
        <w:t>湖南农业大学人文与外语学院</w:t>
      </w:r>
    </w:p>
    <w:p>
      <w:pPr>
        <w:jc w:val="left"/>
        <w:rPr>
          <w:rFonts w:ascii="仿宋_GB2312" w:hAnsi="仿宋" w:eastAsia="仿宋_GB2312" w:cs="宋体"/>
          <w:color w:val="000000"/>
          <w:sz w:val="32"/>
          <w:szCs w:val="32"/>
          <w:lang w:val="zh-CN"/>
        </w:rPr>
      </w:pPr>
    </w:p>
    <w:p>
      <w:pPr>
        <w:jc w:val="center"/>
        <w:rPr>
          <w:rFonts w:ascii="仿宋_GB2312" w:hAnsi="仿宋" w:eastAsia="仿宋_GB2312" w:cs="宋体"/>
          <w:color w:val="000000"/>
          <w:sz w:val="32"/>
          <w:szCs w:val="32"/>
          <w:lang w:val="zh-CN"/>
        </w:rPr>
      </w:pPr>
      <w:r>
        <w:rPr>
          <w:rFonts w:hint="eastAsia" w:ascii="仿宋_GB2312" w:hAnsi="仿宋" w:eastAsia="仿宋_GB2312" w:cs="宋体"/>
          <w:color w:val="000000"/>
          <w:sz w:val="32"/>
          <w:szCs w:val="32"/>
          <w:lang w:val="zh-CN"/>
        </w:rPr>
        <w:t>湘农外院〔202</w:t>
      </w:r>
      <w:r>
        <w:rPr>
          <w:rFonts w:hint="eastAsia" w:ascii="仿宋_GB2312" w:hAnsi="仿宋" w:eastAsia="仿宋_GB2312" w:cs="宋体"/>
          <w:color w:val="000000"/>
          <w:sz w:val="32"/>
          <w:szCs w:val="32"/>
          <w:lang w:val="en-US" w:eastAsia="zh-CN"/>
        </w:rPr>
        <w:t>2</w:t>
      </w:r>
      <w:r>
        <w:rPr>
          <w:rFonts w:hint="eastAsia" w:ascii="仿宋_GB2312" w:hAnsi="仿宋" w:eastAsia="仿宋_GB2312" w:cs="宋体"/>
          <w:color w:val="000000"/>
          <w:sz w:val="32"/>
          <w:szCs w:val="32"/>
          <w:lang w:val="zh-CN"/>
        </w:rPr>
        <w:t>〕</w:t>
      </w:r>
      <w:r>
        <w:rPr>
          <w:rFonts w:hint="eastAsia" w:ascii="仿宋_GB2312" w:hAnsi="仿宋" w:eastAsia="仿宋_GB2312" w:cs="宋体"/>
          <w:color w:val="000000"/>
          <w:sz w:val="32"/>
          <w:szCs w:val="32"/>
          <w:lang w:val="en-US" w:eastAsia="zh-CN"/>
        </w:rPr>
        <w:t>6</w:t>
      </w:r>
      <w:r>
        <w:rPr>
          <w:rFonts w:hint="eastAsia" w:ascii="仿宋_GB2312" w:hAnsi="仿宋" w:eastAsia="仿宋_GB2312" w:cs="宋体"/>
          <w:color w:val="000000"/>
          <w:sz w:val="32"/>
          <w:szCs w:val="32"/>
          <w:lang w:val="zh-CN"/>
        </w:rPr>
        <w:t>号</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00650" cy="396240"/>
                <wp:effectExtent l="0" t="0" r="0" b="0"/>
                <wp:wrapNone/>
                <wp:docPr id="2" name="矩形 2"/>
                <wp:cNvGraphicFramePr/>
                <a:graphic xmlns:a="http://schemas.openxmlformats.org/drawingml/2006/main">
                  <a:graphicData uri="http://schemas.microsoft.com/office/word/2010/wordprocessingShape">
                    <wps:wsp>
                      <wps:cNvSpPr/>
                      <wps:spPr>
                        <a:xfrm>
                          <a:off x="0" y="0"/>
                          <a:ext cx="5200650" cy="396240"/>
                        </a:xfrm>
                        <a:prstGeom prst="rect">
                          <a:avLst/>
                        </a:prstGeom>
                        <a:noFill/>
                        <a:ln>
                          <a:noFill/>
                        </a:ln>
                      </wps:spPr>
                      <wps:txbx>
                        <w:txbxContent>
                          <w:p>
                            <w:pPr>
                              <w:autoSpaceDE w:val="0"/>
                              <w:autoSpaceDN w:val="0"/>
                              <w:adjustRightInd w:val="0"/>
                              <w:rPr>
                                <w:rFonts w:ascii="Arial" w:hAnsi="Arial" w:cs="宋体"/>
                                <w:color w:val="FF0000"/>
                                <w:sz w:val="32"/>
                                <w:szCs w:val="32"/>
                                <w:lang w:val="zh-CN"/>
                              </w:rPr>
                            </w:pPr>
                            <w:r>
                              <w:rPr>
                                <w:rFonts w:ascii="Arial" w:hAnsi="Arial" w:cs="宋体"/>
                                <w:color w:val="FF0000"/>
                                <w:sz w:val="32"/>
                                <w:szCs w:val="32"/>
                              </w:rPr>
                              <w:drawing>
                                <wp:inline distT="0" distB="0" distL="0" distR="0">
                                  <wp:extent cx="5114925" cy="19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5114925" cy="19050"/>
                                          </a:xfrm>
                                          <a:prstGeom prst="rect">
                                            <a:avLst/>
                                          </a:prstGeom>
                                          <a:noFill/>
                                          <a:ln w="9525">
                                            <a:noFill/>
                                            <a:miter lim="800000"/>
                                            <a:headEnd/>
                                            <a:tailEnd/>
                                          </a:ln>
                                        </pic:spPr>
                                      </pic:pic>
                                    </a:graphicData>
                                  </a:graphic>
                                </wp:inline>
                              </w:drawing>
                            </w:r>
                            <w:r>
                              <w:rPr>
                                <w:rFonts w:hint="eastAsia" w:ascii="Arial" w:hAnsi="Arial" w:cs="宋体"/>
                                <w:color w:val="FF0000"/>
                                <w:sz w:val="32"/>
                                <w:szCs w:val="32"/>
                                <w:lang w:val="zh-CN"/>
                              </w:rPr>
                              <w:t>━</w:t>
                            </w:r>
                          </w:p>
                        </w:txbxContent>
                      </wps:txbx>
                      <wps:bodyPr lIns="42062" tIns="21031" rIns="42062" bIns="21031" anchor="ctr" anchorCtr="0" upright="1"/>
                    </wps:wsp>
                  </a:graphicData>
                </a:graphic>
              </wp:anchor>
            </w:drawing>
          </mc:Choice>
          <mc:Fallback>
            <w:pict>
              <v:rect id="_x0000_s1026" o:spid="_x0000_s1026" o:spt="1" style="position:absolute;left:0pt;margin-left:0pt;margin-top:0pt;height:31.2pt;width:409.5pt;z-index:251659264;v-text-anchor:middle;mso-width-relative:page;mso-height-relative:page;" filled="f" stroked="f" coordsize="21600,21600" o:gfxdata="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gSt8bdMAAAAEAQAADwAAAAAAAAABACAAAAAiAAAAZHJzL2Rvd25yZXYu&#10;eG1sUEsBAhQAFAAAAAgAh07iQPyPoALHAQAAkAMAAA4AAAAAAAAAAQAgAAAAIgEAAGRycy9lMm9E&#10;b2MueG1sUEsFBgAAAAAGAAYAWQEAAFsFAAAAAA==&#10;">
                <v:fill on="f" focussize="0,0"/>
                <v:stroke on="f"/>
                <v:imagedata o:title=""/>
                <o:lock v:ext="edit" aspectratio="f"/>
                <v:textbox inset="3.31196850393701pt,1.6559842519685pt,3.31196850393701pt,1.6559842519685pt">
                  <w:txbxContent>
                    <w:p>
                      <w:pPr>
                        <w:autoSpaceDE w:val="0"/>
                        <w:autoSpaceDN w:val="0"/>
                        <w:adjustRightInd w:val="0"/>
                        <w:rPr>
                          <w:rFonts w:ascii="Arial" w:hAnsi="Arial" w:cs="宋体"/>
                          <w:color w:val="FF0000"/>
                          <w:sz w:val="32"/>
                          <w:szCs w:val="32"/>
                          <w:lang w:val="zh-CN"/>
                        </w:rPr>
                      </w:pPr>
                      <w:r>
                        <w:rPr>
                          <w:rFonts w:ascii="Arial" w:hAnsi="Arial" w:cs="宋体"/>
                          <w:color w:val="FF0000"/>
                          <w:sz w:val="32"/>
                          <w:szCs w:val="32"/>
                        </w:rPr>
                        <w:drawing>
                          <wp:inline distT="0" distB="0" distL="0" distR="0">
                            <wp:extent cx="5114925" cy="190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5114925" cy="19050"/>
                                    </a:xfrm>
                                    <a:prstGeom prst="rect">
                                      <a:avLst/>
                                    </a:prstGeom>
                                    <a:noFill/>
                                    <a:ln w="9525">
                                      <a:noFill/>
                                      <a:miter lim="800000"/>
                                      <a:headEnd/>
                                      <a:tailEnd/>
                                    </a:ln>
                                  </pic:spPr>
                                </pic:pic>
                              </a:graphicData>
                            </a:graphic>
                          </wp:inline>
                        </w:drawing>
                      </w:r>
                      <w:r>
                        <w:rPr>
                          <w:rFonts w:hint="eastAsia" w:ascii="Arial" w:hAnsi="Arial" w:cs="宋体"/>
                          <w:color w:val="FF0000"/>
                          <w:sz w:val="32"/>
                          <w:szCs w:val="32"/>
                          <w:lang w:val="zh-CN"/>
                        </w:rPr>
                        <w:t>━</w:t>
                      </w:r>
                    </w:p>
                  </w:txbxContent>
                </v:textbox>
              </v:rect>
            </w:pict>
          </mc:Fallback>
        </mc:AlternateContent>
      </w:r>
    </w:p>
    <w:p>
      <w:pPr>
        <w:spacing w:line="600" w:lineRule="exact"/>
        <w:rPr>
          <w:rFonts w:ascii="方正小标宋简体" w:hAnsi="华文中宋" w:eastAsia="方正小标宋简体"/>
          <w:b/>
          <w:bCs/>
          <w:spacing w:val="8"/>
          <w:sz w:val="44"/>
          <w:szCs w:val="44"/>
        </w:rPr>
      </w:pPr>
    </w:p>
    <w:p>
      <w:pPr>
        <w:spacing w:line="600" w:lineRule="exact"/>
        <w:ind w:firstLine="649" w:firstLineChars="147"/>
        <w:jc w:val="center"/>
        <w:rPr>
          <w:rFonts w:ascii="黑体" w:eastAsia="黑体"/>
          <w:b/>
          <w:kern w:val="0"/>
          <w:sz w:val="44"/>
          <w:szCs w:val="44"/>
        </w:rPr>
      </w:pPr>
      <w:r>
        <w:rPr>
          <w:rFonts w:hint="eastAsia" w:ascii="黑体" w:eastAsia="黑体"/>
          <w:b/>
          <w:kern w:val="0"/>
          <w:sz w:val="44"/>
          <w:szCs w:val="44"/>
        </w:rPr>
        <w:t>人文与外语学院202</w:t>
      </w:r>
      <w:r>
        <w:rPr>
          <w:rFonts w:hint="eastAsia" w:ascii="黑体" w:eastAsia="黑体"/>
          <w:b/>
          <w:kern w:val="0"/>
          <w:sz w:val="44"/>
          <w:szCs w:val="44"/>
          <w:lang w:val="en-US" w:eastAsia="zh-CN"/>
        </w:rPr>
        <w:t>2</w:t>
      </w:r>
      <w:r>
        <w:rPr>
          <w:rFonts w:hint="eastAsia" w:ascii="黑体" w:eastAsia="黑体"/>
          <w:b/>
          <w:kern w:val="0"/>
          <w:sz w:val="44"/>
          <w:szCs w:val="44"/>
        </w:rPr>
        <w:t>年硕士研究生</w:t>
      </w:r>
    </w:p>
    <w:p>
      <w:pPr>
        <w:spacing w:line="600" w:lineRule="exact"/>
        <w:jc w:val="center"/>
        <w:rPr>
          <w:rFonts w:ascii="黑体" w:eastAsia="黑体"/>
          <w:b/>
          <w:kern w:val="0"/>
          <w:sz w:val="44"/>
          <w:szCs w:val="44"/>
        </w:rPr>
      </w:pPr>
      <w:r>
        <w:rPr>
          <w:rFonts w:hint="eastAsia" w:ascii="黑体" w:eastAsia="黑体"/>
          <w:b/>
          <w:kern w:val="0"/>
          <w:sz w:val="44"/>
          <w:szCs w:val="44"/>
        </w:rPr>
        <w:t>复试与录取工作方案</w:t>
      </w:r>
    </w:p>
    <w:p>
      <w:pPr>
        <w:spacing w:line="560" w:lineRule="exact"/>
        <w:ind w:firstLine="883" w:firstLineChars="200"/>
        <w:jc w:val="center"/>
        <w:rPr>
          <w:rFonts w:ascii="黑体" w:eastAsia="黑体"/>
          <w:b/>
          <w:kern w:val="0"/>
          <w:sz w:val="44"/>
          <w:szCs w:val="44"/>
        </w:rPr>
      </w:pPr>
    </w:p>
    <w:p>
      <w:pPr>
        <w:widowControl/>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根据</w:t>
      </w:r>
      <w:r>
        <w:rPr>
          <w:rFonts w:hint="eastAsia" w:ascii="仿宋_GB2312" w:hAnsi="宋体" w:eastAsia="仿宋_GB2312"/>
          <w:sz w:val="32"/>
          <w:szCs w:val="32"/>
          <w:lang w:val="en-US" w:eastAsia="zh-CN"/>
        </w:rPr>
        <w:t>《教育部关于印发&lt;2022 年全国硕士研究生招生工作管理规定&gt;的通知》（教学函〔2021〕2号）、《教育部高校学生司关于做好 2022 年全国硕士研究生招生录取工作的通知》（教学司〔2022〕4号）</w:t>
      </w:r>
      <w:r>
        <w:rPr>
          <w:rFonts w:hint="eastAsia" w:ascii="仿宋_GB2312" w:hAnsi="宋体" w:eastAsia="仿宋_GB2312"/>
          <w:sz w:val="32"/>
          <w:szCs w:val="32"/>
        </w:rPr>
        <w:t>以及《湖南农业大学202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年硕士研究生招生复试录取工作方案》</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校研发〔2022〕9号</w:t>
      </w:r>
      <w:r>
        <w:rPr>
          <w:rFonts w:hint="eastAsia" w:ascii="仿宋_GB2312" w:hAnsi="宋体" w:eastAsia="仿宋_GB2312"/>
          <w:sz w:val="32"/>
          <w:szCs w:val="32"/>
          <w:lang w:eastAsia="zh-CN"/>
        </w:rPr>
        <w:t>）</w:t>
      </w:r>
      <w:r>
        <w:rPr>
          <w:rFonts w:hint="eastAsia" w:ascii="仿宋_GB2312" w:hAnsi="宋体" w:eastAsia="仿宋_GB2312"/>
          <w:sz w:val="32"/>
          <w:szCs w:val="32"/>
        </w:rPr>
        <w:t>等文件的要求，为妥善做好疫情防控形势下的硕士研究生复试工作，结合学院实际情况，特制订此工作方案。</w:t>
      </w:r>
    </w:p>
    <w:p>
      <w:pPr>
        <w:widowControl/>
        <w:spacing w:line="580" w:lineRule="exact"/>
        <w:ind w:firstLine="640" w:firstLineChars="200"/>
        <w:rPr>
          <w:rFonts w:ascii="黑体" w:hAnsi="黑体" w:eastAsia="黑体"/>
          <w:sz w:val="32"/>
          <w:szCs w:val="32"/>
        </w:rPr>
      </w:pPr>
      <w:r>
        <w:rPr>
          <w:rFonts w:hint="eastAsia" w:ascii="黑体" w:hAnsi="黑体" w:eastAsia="黑体"/>
          <w:sz w:val="32"/>
          <w:szCs w:val="32"/>
        </w:rPr>
        <w:t>一、指导思想</w:t>
      </w:r>
    </w:p>
    <w:p>
      <w:pPr>
        <w:widowControl/>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1.坚持“统筹兼顾、精准施策、严格管理”。</w:t>
      </w:r>
      <w:r>
        <w:rPr>
          <w:rFonts w:hint="eastAsia" w:ascii="仿宋_GB2312" w:hAnsi="宋体" w:eastAsia="仿宋_GB2312"/>
          <w:sz w:val="32"/>
          <w:szCs w:val="32"/>
          <w:lang w:val="en-US" w:eastAsia="zh-CN"/>
        </w:rPr>
        <w:t>在</w:t>
      </w:r>
      <w:r>
        <w:rPr>
          <w:rFonts w:hint="eastAsia" w:ascii="仿宋_GB2312" w:hAnsi="宋体" w:eastAsia="仿宋_GB2312"/>
          <w:sz w:val="32"/>
          <w:szCs w:val="32"/>
        </w:rPr>
        <w:t>全力以赴保障师生健康安全的前提下，确保</w:t>
      </w:r>
      <w:r>
        <w:rPr>
          <w:rFonts w:hint="eastAsia" w:ascii="仿宋_GB2312" w:hAnsi="宋体" w:eastAsia="仿宋_GB2312"/>
          <w:sz w:val="32"/>
          <w:szCs w:val="32"/>
          <w:lang w:val="en-US" w:eastAsia="zh-CN"/>
        </w:rPr>
        <w:t>学院</w:t>
      </w:r>
      <w:r>
        <w:rPr>
          <w:rFonts w:hint="eastAsia" w:ascii="仿宋_GB2312" w:hAnsi="宋体" w:eastAsia="仿宋_GB2312"/>
          <w:sz w:val="32"/>
          <w:szCs w:val="32"/>
        </w:rPr>
        <w:t>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年硕士研究生招生复试与录取工作按质按量顺利完成。</w:t>
      </w:r>
    </w:p>
    <w:p>
      <w:pPr>
        <w:spacing w:line="580" w:lineRule="exact"/>
        <w:ind w:firstLine="640" w:firstLineChars="200"/>
        <w:jc w:val="left"/>
        <w:outlineLvl w:val="1"/>
        <w:rPr>
          <w:rFonts w:ascii="仿宋_GB2312" w:hAnsi="宋体" w:eastAsia="仿宋_GB2312"/>
          <w:sz w:val="32"/>
          <w:szCs w:val="32"/>
        </w:rPr>
      </w:pPr>
      <w:r>
        <w:rPr>
          <w:rFonts w:hint="eastAsia" w:ascii="仿宋_GB2312" w:hAnsi="宋体" w:eastAsia="仿宋_GB2312"/>
          <w:sz w:val="32"/>
          <w:szCs w:val="32"/>
        </w:rPr>
        <w:t>2.坚持“按需招生、全面衡量、择优录取、宁缺毋滥”的原则，公开、公平、公正地开展复试与录取工作，切实维护考生权益。</w:t>
      </w:r>
    </w:p>
    <w:p>
      <w:pPr>
        <w:spacing w:line="580" w:lineRule="exact"/>
        <w:ind w:firstLine="640" w:firstLineChars="200"/>
        <w:jc w:val="left"/>
        <w:outlineLvl w:val="1"/>
        <w:rPr>
          <w:rFonts w:ascii="黑体" w:hAnsi="黑体" w:eastAsia="黑体"/>
          <w:sz w:val="32"/>
          <w:szCs w:val="32"/>
        </w:rPr>
      </w:pPr>
      <w:r>
        <w:rPr>
          <w:rFonts w:hint="eastAsia" w:ascii="黑体" w:hAnsi="黑体" w:eastAsia="黑体"/>
          <w:sz w:val="32"/>
          <w:szCs w:val="32"/>
        </w:rPr>
        <w:t>二、基本工作原则</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根据</w:t>
      </w:r>
      <w:r>
        <w:rPr>
          <w:rFonts w:hint="eastAsia" w:ascii="仿宋_GB2312" w:hAnsi="仿宋_GB2312" w:eastAsia="仿宋_GB2312" w:cs="仿宋_GB2312"/>
          <w:color w:val="000000"/>
          <w:kern w:val="0"/>
          <w:sz w:val="31"/>
          <w:szCs w:val="31"/>
          <w:lang w:val="en-US" w:eastAsia="zh-CN" w:bidi="ar"/>
        </w:rPr>
        <w:t>学校</w:t>
      </w:r>
      <w:r>
        <w:rPr>
          <w:rFonts w:ascii="仿宋_GB2312" w:hAnsi="仿宋_GB2312" w:eastAsia="仿宋_GB2312" w:cs="仿宋_GB2312"/>
          <w:color w:val="000000"/>
          <w:kern w:val="0"/>
          <w:sz w:val="31"/>
          <w:szCs w:val="31"/>
          <w:lang w:val="en-US" w:eastAsia="zh-CN" w:bidi="ar"/>
        </w:rPr>
        <w:t>关于疫情防控常态化的相关要求，遵循“按需 招生、全面衡量、择优录取、宁缺毋滥”的原则，在确保安全性、公平性和科学性的基础上，统筹兼顾、精准施策、规范管理，坚持疫情防控与复试工作“两手抓、两不误”的工作方针，平稳有序做好2022年我</w:t>
      </w:r>
      <w:r>
        <w:rPr>
          <w:rFonts w:hint="eastAsia" w:ascii="仿宋_GB2312" w:hAnsi="仿宋_GB2312" w:eastAsia="仿宋_GB2312" w:cs="仿宋_GB2312"/>
          <w:color w:val="000000"/>
          <w:kern w:val="0"/>
          <w:sz w:val="31"/>
          <w:szCs w:val="31"/>
          <w:lang w:val="en-US" w:eastAsia="zh-CN" w:bidi="ar"/>
        </w:rPr>
        <w:t>院</w:t>
      </w:r>
      <w:r>
        <w:rPr>
          <w:rFonts w:ascii="仿宋_GB2312" w:hAnsi="仿宋_GB2312" w:eastAsia="仿宋_GB2312" w:cs="仿宋_GB2312"/>
          <w:color w:val="000000"/>
          <w:kern w:val="0"/>
          <w:sz w:val="31"/>
          <w:szCs w:val="31"/>
          <w:lang w:val="en-US" w:eastAsia="zh-CN" w:bidi="ar"/>
        </w:rPr>
        <w:t>硕士研究生招生复试录取工作</w:t>
      </w:r>
      <w:r>
        <w:rPr>
          <w:rFonts w:hint="eastAsia" w:ascii="仿宋_GB2312" w:hAnsi="仿宋_GB2312" w:eastAsia="仿宋_GB2312" w:cs="仿宋_GB2312"/>
          <w:color w:val="000000"/>
          <w:kern w:val="0"/>
          <w:sz w:val="31"/>
          <w:szCs w:val="31"/>
          <w:lang w:val="en-US" w:eastAsia="zh-CN" w:bidi="ar"/>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三、工作机构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1.学院研究生招生工作领导小组</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全面</w:t>
      </w:r>
      <w:r>
        <w:rPr>
          <w:rFonts w:hint="eastAsia" w:ascii="仿宋_GB2312" w:hAnsi="宋体" w:eastAsia="仿宋_GB2312"/>
          <w:sz w:val="32"/>
          <w:szCs w:val="32"/>
        </w:rPr>
        <w:t>负责本学院的复试和录取工作</w:t>
      </w:r>
      <w:r>
        <w:rPr>
          <w:rFonts w:hint="eastAsia" w:ascii="仿宋_GB2312" w:hAnsi="宋体" w:eastAsia="仿宋_GB2312"/>
          <w:sz w:val="32"/>
          <w:szCs w:val="32"/>
          <w:lang w:val="en-US" w:eastAsia="zh-CN"/>
        </w:rPr>
        <w:t>，审定本学院复试录取工作方案；遴选学科专业复试专家组成员；审查复试结果；商讨处理复试工作中出现的问题</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组  长：胡东平</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副组长：</w:t>
      </w:r>
      <w:r>
        <w:rPr>
          <w:rFonts w:hint="eastAsia" w:ascii="仿宋_GB2312" w:hAnsi="宋体" w:eastAsia="仿宋_GB2312"/>
          <w:sz w:val="32"/>
          <w:szCs w:val="32"/>
          <w:lang w:val="en-US" w:eastAsia="zh-CN"/>
        </w:rPr>
        <w:t>莫  华</w:t>
      </w:r>
      <w:r>
        <w:rPr>
          <w:rFonts w:hint="eastAsia" w:ascii="仿宋_GB2312" w:hAnsi="宋体" w:eastAsia="仿宋_GB2312"/>
          <w:sz w:val="32"/>
          <w:szCs w:val="32"/>
        </w:rPr>
        <w:t xml:space="preserve">  谭燕萍</w:t>
      </w:r>
      <w:r>
        <w:rPr>
          <w:rFonts w:hint="eastAsia" w:ascii="仿宋_GB2312" w:hAnsi="宋体" w:eastAsia="仿宋_GB2312"/>
          <w:sz w:val="32"/>
          <w:szCs w:val="32"/>
          <w:lang w:val="en-US" w:eastAsia="zh-CN"/>
        </w:rPr>
        <w:t xml:space="preserve">  田建湘</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rPr>
        <w:t xml:space="preserve">成  员：周芬芬  王建辉  </w:t>
      </w:r>
      <w:r>
        <w:rPr>
          <w:rFonts w:hint="eastAsia" w:ascii="仿宋_GB2312" w:hAnsi="宋体" w:eastAsia="仿宋_GB2312"/>
          <w:sz w:val="32"/>
          <w:szCs w:val="32"/>
          <w:lang w:val="en-US" w:eastAsia="zh-CN"/>
        </w:rPr>
        <w:t>张智雄</w:t>
      </w:r>
    </w:p>
    <w:p>
      <w:pPr>
        <w:spacing w:line="58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2.学院研究生复试工作小组</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负责制定本学院复试工作方案和实施细则；命题保密和考务管理；统筹复试时间并组织开展培训；考生资格审查；接收调剂工作；复试和录取工作；信息公开工作。</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组  长：胡东平</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副组长：田建湘  谭燕萍  </w:t>
      </w:r>
    </w:p>
    <w:p>
      <w:pPr>
        <w:spacing w:line="58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成  员：张智雄  姜启凡  谢佳骏  黎江</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w:t>
      </w:r>
      <w:r>
        <w:rPr>
          <w:rFonts w:hint="eastAsia" w:ascii="仿宋_GB2312" w:hAnsi="宋体" w:eastAsia="仿宋_GB2312"/>
          <w:sz w:val="32"/>
          <w:szCs w:val="32"/>
          <w:lang w:val="en-US" w:eastAsia="zh-CN"/>
        </w:rPr>
        <w:t>学科(领域)复试专家组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负责对本学科(领域)硕士研究生的专业知识和综合能力测试，确定考生面试和实践能力考核的具体内容、评分标准、程序，并具体组织实施。由秘书记录复试情况以备核查。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w w:val="100"/>
          <w:sz w:val="32"/>
          <w:szCs w:val="32"/>
        </w:rPr>
      </w:pPr>
      <w:bookmarkStart w:id="1" w:name="_GoBack"/>
      <w:bookmarkEnd w:id="1"/>
      <w:r>
        <w:rPr>
          <w:rFonts w:ascii="仿宋_GB2312" w:hAnsi="宋体" w:eastAsia="仿宋_GB2312"/>
          <w:w w:val="100"/>
          <w:sz w:val="32"/>
          <w:szCs w:val="32"/>
        </w:rPr>
        <w:t>复试</w:t>
      </w:r>
      <w:r>
        <w:rPr>
          <w:rFonts w:hint="eastAsia" w:ascii="仿宋_GB2312" w:hAnsi="宋体" w:eastAsia="仿宋_GB2312"/>
          <w:w w:val="100"/>
          <w:sz w:val="32"/>
          <w:szCs w:val="32"/>
        </w:rPr>
        <w:t>工作</w:t>
      </w:r>
      <w:r>
        <w:rPr>
          <w:rFonts w:ascii="仿宋_GB2312" w:hAnsi="宋体" w:eastAsia="仿宋_GB2312"/>
          <w:w w:val="100"/>
          <w:sz w:val="32"/>
          <w:szCs w:val="32"/>
        </w:rPr>
        <w:t>小组</w:t>
      </w:r>
      <w:r>
        <w:rPr>
          <w:rFonts w:hint="eastAsia" w:ascii="仿宋_GB2312" w:hAnsi="宋体" w:eastAsia="仿宋_GB2312"/>
          <w:w w:val="100"/>
          <w:sz w:val="32"/>
          <w:szCs w:val="32"/>
        </w:rPr>
        <w:t>每组9人，</w:t>
      </w:r>
      <w:r>
        <w:rPr>
          <w:rFonts w:ascii="仿宋_GB2312" w:hAnsi="宋体" w:eastAsia="仿宋_GB2312"/>
          <w:w w:val="100"/>
          <w:sz w:val="32"/>
          <w:szCs w:val="32"/>
        </w:rPr>
        <w:t>由</w:t>
      </w:r>
      <w:r>
        <w:rPr>
          <w:rFonts w:hint="eastAsia" w:ascii="仿宋_GB2312" w:hAnsi="宋体" w:eastAsia="仿宋_GB2312"/>
          <w:w w:val="100"/>
          <w:sz w:val="32"/>
          <w:szCs w:val="32"/>
        </w:rPr>
        <w:t>7</w:t>
      </w:r>
      <w:r>
        <w:rPr>
          <w:rFonts w:ascii="仿宋_GB2312" w:hAnsi="宋体" w:eastAsia="仿宋_GB2312"/>
          <w:w w:val="100"/>
          <w:sz w:val="32"/>
          <w:szCs w:val="32"/>
        </w:rPr>
        <w:t>名</w:t>
      </w:r>
      <w:r>
        <w:rPr>
          <w:rFonts w:hint="eastAsia" w:ascii="仿宋_GB2312" w:hAnsi="宋体" w:eastAsia="仿宋_GB2312"/>
          <w:w w:val="100"/>
          <w:sz w:val="32"/>
          <w:szCs w:val="32"/>
        </w:rPr>
        <w:t>导师（</w:t>
      </w:r>
      <w:r>
        <w:rPr>
          <w:rFonts w:hint="eastAsia" w:ascii="仿宋_GB2312" w:hAnsi="宋体" w:eastAsia="仿宋_GB2312"/>
          <w:w w:val="100"/>
          <w:sz w:val="32"/>
          <w:szCs w:val="32"/>
          <w:lang w:val="en-US" w:eastAsia="zh-CN"/>
        </w:rPr>
        <w:t>含</w:t>
      </w:r>
      <w:r>
        <w:rPr>
          <w:rFonts w:hint="eastAsia" w:ascii="仿宋_GB2312" w:hAnsi="宋体" w:eastAsia="仿宋_GB2312"/>
          <w:w w:val="100"/>
          <w:sz w:val="32"/>
          <w:szCs w:val="32"/>
        </w:rPr>
        <w:t>组长1人）、1名秘书和1名候考官组成，秘书负责记录复试情况，对专家打分表、复试成绩等表格进行整理、统计、上报及相关复试材料的存档等工作；候考官负责核验考生身份及资格审查，向考生发送消息通知、组织考生有序参加面试，负责本组复试场地秩序维护、复试全程网络设备调试与全程录像录音资料的留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.学院研究生招生工作监督小组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负责学院复试过程各个环节的监督检查，受理考生的举报、</w:t>
      </w:r>
      <w:r>
        <w:rPr>
          <w:rFonts w:hint="eastAsia" w:ascii="仿宋_GB2312" w:hAnsi="宋体" w:eastAsia="仿宋_GB2312"/>
          <w:sz w:val="32"/>
          <w:szCs w:val="32"/>
          <w:lang w:val="en-US" w:eastAsia="zh-CN"/>
        </w:rPr>
        <w:t>申</w:t>
      </w:r>
      <w:r>
        <w:rPr>
          <w:rFonts w:hint="eastAsia" w:ascii="仿宋_GB2312" w:hAnsi="宋体" w:eastAsia="仿宋_GB2312"/>
          <w:sz w:val="32"/>
          <w:szCs w:val="32"/>
        </w:rPr>
        <w:t>诉事宜。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rPr>
        <w:t>组  长：</w:t>
      </w:r>
      <w:r>
        <w:rPr>
          <w:rFonts w:hint="eastAsia" w:ascii="仿宋_GB2312" w:hAnsi="宋体" w:eastAsia="仿宋_GB2312"/>
          <w:sz w:val="32"/>
          <w:szCs w:val="32"/>
          <w:lang w:val="en-US" w:eastAsia="zh-CN"/>
        </w:rPr>
        <w:t>莫  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成  员：</w:t>
      </w:r>
      <w:r>
        <w:rPr>
          <w:rFonts w:hint="eastAsia" w:ascii="仿宋_GB2312" w:hAnsi="宋体" w:eastAsia="仿宋_GB2312"/>
          <w:sz w:val="32"/>
          <w:szCs w:val="32"/>
          <w:lang w:val="en-US" w:eastAsia="zh-CN"/>
        </w:rPr>
        <w:t>田建湘</w:t>
      </w:r>
      <w:r>
        <w:rPr>
          <w:rFonts w:hint="eastAsia" w:ascii="仿宋_GB2312" w:hAnsi="宋体" w:eastAsia="仿宋_GB2312"/>
          <w:sz w:val="32"/>
          <w:szCs w:val="32"/>
        </w:rPr>
        <w:t xml:space="preserve">  谭燕萍  胡东平  周芬芬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监督举报电话：0731-846</w:t>
      </w:r>
      <w:r>
        <w:rPr>
          <w:rFonts w:hint="eastAsia" w:ascii="仿宋_GB2312" w:hAnsi="宋体" w:eastAsia="仿宋_GB2312"/>
          <w:sz w:val="32"/>
          <w:szCs w:val="32"/>
          <w:lang w:val="en-US" w:eastAsia="zh-CN"/>
        </w:rPr>
        <w:t>73635</w:t>
      </w:r>
      <w:r>
        <w:rPr>
          <w:rFonts w:hint="eastAsia" w:ascii="仿宋_GB2312" w:hAnsi="宋体" w:eastAsia="仿宋_GB2312"/>
          <w:sz w:val="32"/>
          <w:szCs w:val="32"/>
        </w:rPr>
        <w:t>（学院党委书记办公室9教南52</w:t>
      </w:r>
      <w:r>
        <w:rPr>
          <w:rFonts w:hint="eastAsia" w:ascii="仿宋_GB2312" w:hAnsi="宋体" w:eastAsia="仿宋_GB2312"/>
          <w:sz w:val="32"/>
          <w:szCs w:val="32"/>
          <w:lang w:val="en-US" w:eastAsia="zh-CN"/>
        </w:rPr>
        <w:t>6</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仿宋_GB2312" w:hAnsi="宋体" w:eastAsia="仿宋_GB2312"/>
          <w:sz w:val="32"/>
          <w:szCs w:val="32"/>
          <w:lang w:val="en-US" w:eastAsia="zh-CN"/>
        </w:rPr>
        <w:t>5.学院疫情防控应急处理小组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负责学院新型冠状病毒肺炎疫情防控工作，制定本单位疫情防控工作方案和应急预案。明确考场防疫措施，做好面试教师、工作人员的健康监测、登记和新冠肺炎排查工作。要对考试场所统一进行消毒，保证环境卫生和良好通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组  长：莫  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成  员：田建湘  李广润  李  卓  郭建伟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lang w:val="en-US" w:eastAsia="zh-CN"/>
        </w:rPr>
        <w:t>6</w:t>
      </w:r>
      <w:r>
        <w:rPr>
          <w:rFonts w:hint="eastAsia" w:ascii="仿宋_GB2312" w:hAnsi="宋体" w:eastAsia="仿宋_GB2312"/>
          <w:sz w:val="32"/>
          <w:szCs w:val="32"/>
        </w:rPr>
        <w:t>.复试过程中紧急情况联系人及联系电话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rPr>
        <w:t>联系人：</w:t>
      </w:r>
      <w:r>
        <w:rPr>
          <w:rFonts w:hint="eastAsia" w:ascii="仿宋_GB2312" w:hAnsi="宋体" w:eastAsia="仿宋_GB2312"/>
          <w:sz w:val="32"/>
          <w:szCs w:val="32"/>
          <w:lang w:val="en-US" w:eastAsia="zh-CN"/>
        </w:rPr>
        <w:t>姜启凡</w:t>
      </w:r>
      <w:r>
        <w:rPr>
          <w:rFonts w:hint="eastAsia" w:ascii="仿宋_GB2312" w:hAnsi="宋体" w:eastAsia="仿宋_GB2312"/>
          <w:sz w:val="32"/>
          <w:szCs w:val="32"/>
        </w:rPr>
        <w:t xml:space="preserve">    联系电话：</w:t>
      </w:r>
      <w:r>
        <w:rPr>
          <w:rFonts w:hint="eastAsia" w:ascii="仿宋_GB2312" w:hAnsi="宋体" w:eastAsia="仿宋_GB2312"/>
          <w:sz w:val="32"/>
          <w:szCs w:val="32"/>
          <w:lang w:val="en-US" w:eastAsia="zh-CN"/>
        </w:rPr>
        <w:t>13618494770</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四、复试分数线和复试名单</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1.复试分数线：必须符合202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年全国硕士研究生招生考试A类地区“文学类（学术学位类）”和“翻译硕士（专业学位类）”考生进入复试的初试成绩基本要求。</w:t>
      </w:r>
    </w:p>
    <w:p>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2.复试名单：本次复试分一志愿报考考生和调剂考生两批进行，其中，一志愿考生复试名单见附件1，调剂考生名单将按照调剂复试工作安排另行</w:t>
      </w:r>
      <w:r>
        <w:rPr>
          <w:rFonts w:hint="eastAsia" w:ascii="仿宋_GB2312" w:hAnsi="宋体" w:eastAsia="仿宋_GB2312"/>
          <w:sz w:val="32"/>
          <w:szCs w:val="32"/>
          <w:lang w:val="en-US" w:eastAsia="zh-CN"/>
        </w:rPr>
        <w:t>通知</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五、复试与录取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（一）招生计划</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1.外国语言文学（学术型）：学科代码050200，拟计划招生人数</w:t>
      </w:r>
      <w:r>
        <w:rPr>
          <w:rFonts w:hint="eastAsia" w:ascii="仿宋_GB2312" w:hAnsi="宋体" w:eastAsia="仿宋_GB2312"/>
          <w:sz w:val="32"/>
          <w:szCs w:val="32"/>
          <w:lang w:val="en-US" w:eastAsia="zh-CN"/>
        </w:rPr>
        <w:t>12</w:t>
      </w:r>
      <w:r>
        <w:rPr>
          <w:rFonts w:hint="eastAsia" w:ascii="仿宋_GB2312" w:hAnsi="宋体" w:eastAsia="仿宋_GB2312"/>
          <w:sz w:val="32"/>
          <w:szCs w:val="32"/>
        </w:rPr>
        <w:t>人（全日制）。</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翻译硕士（笔译方向）</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专业型</w:t>
      </w:r>
      <w:r>
        <w:rPr>
          <w:rFonts w:hint="eastAsia" w:ascii="仿宋_GB2312" w:hAnsi="宋体" w:eastAsia="仿宋_GB2312"/>
          <w:sz w:val="32"/>
          <w:szCs w:val="32"/>
          <w:lang w:eastAsia="zh-CN"/>
        </w:rPr>
        <w:t>）</w:t>
      </w:r>
      <w:r>
        <w:rPr>
          <w:rFonts w:hint="eastAsia" w:ascii="仿宋_GB2312" w:hAnsi="宋体" w:eastAsia="仿宋_GB2312"/>
          <w:sz w:val="32"/>
          <w:szCs w:val="32"/>
        </w:rPr>
        <w:t>：学科代码055100，拟计划招生人数</w:t>
      </w:r>
      <w:r>
        <w:rPr>
          <w:rFonts w:hint="eastAsia" w:ascii="仿宋_GB2312" w:hAnsi="宋体" w:eastAsia="仿宋_GB2312"/>
          <w:sz w:val="32"/>
          <w:szCs w:val="32"/>
          <w:lang w:val="en-US" w:eastAsia="zh-CN"/>
        </w:rPr>
        <w:t>25</w:t>
      </w:r>
      <w:r>
        <w:rPr>
          <w:rFonts w:hint="eastAsia" w:ascii="仿宋_GB2312" w:hAnsi="宋体" w:eastAsia="仿宋_GB2312"/>
          <w:sz w:val="32"/>
          <w:szCs w:val="32"/>
        </w:rPr>
        <w:t>人（全日制）。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（二）复试方式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我校202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年硕士研究生招生复试工作统一采取网络远程复试方式。网络远程复试采用 “云视讯-云考场”（主平台）、腾讯会议（备用平台）等软件平台进行。远程复试具体要求详见《湖南农业大学202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年硕士研究生远程网络复试软硬件及环境等要求说明》。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（三）复试费缴纳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1.复试费标准：120元/次，具体缴费方式见《湖南农业大学网上缴纳复试费操作指南》。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2.一志愿复试考生的缴费时间定为</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2</w:t>
      </w:r>
      <w:r>
        <w:rPr>
          <w:rFonts w:hint="eastAsia" w:ascii="仿宋_GB2312" w:hAnsi="宋体" w:eastAsia="仿宋_GB2312"/>
          <w:sz w:val="32"/>
          <w:szCs w:val="32"/>
        </w:rPr>
        <w:t>日08:00—17:00，未在规定时间缴费，视为自动放弃复试资格。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3.调剂考生须在接到调剂复试通知后、参加调剂复试前完成缴费，否则视为自动放弃调剂复试资格。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4.缴费后因各种原因未参加复试的考生，已支付的复试费不予退还。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（四）具体安排</w:t>
      </w:r>
    </w:p>
    <w:tbl>
      <w:tblPr>
        <w:tblStyle w:val="8"/>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1798"/>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tcPr>
          <w:p>
            <w:pPr>
              <w:spacing w:line="440" w:lineRule="exact"/>
              <w:jc w:val="center"/>
              <w:textAlignment w:val="baseline"/>
              <w:rPr>
                <w:rFonts w:ascii="仿宋_GB2312" w:eastAsia="仿宋_GB2312"/>
                <w:b/>
                <w:sz w:val="24"/>
                <w:szCs w:val="24"/>
              </w:rPr>
            </w:pPr>
            <w:r>
              <w:rPr>
                <w:rFonts w:hint="eastAsia" w:ascii="仿宋_GB2312" w:eastAsia="仿宋_GB2312"/>
                <w:b/>
                <w:sz w:val="24"/>
                <w:szCs w:val="24"/>
              </w:rPr>
              <w:t>时  间</w:t>
            </w:r>
          </w:p>
        </w:tc>
        <w:tc>
          <w:tcPr>
            <w:tcW w:w="1798" w:type="dxa"/>
          </w:tcPr>
          <w:p>
            <w:pPr>
              <w:spacing w:line="440" w:lineRule="exact"/>
              <w:jc w:val="center"/>
              <w:textAlignment w:val="baseline"/>
              <w:rPr>
                <w:rFonts w:ascii="仿宋_GB2312" w:eastAsia="仿宋_GB2312"/>
                <w:b/>
                <w:sz w:val="24"/>
                <w:szCs w:val="24"/>
              </w:rPr>
            </w:pPr>
            <w:r>
              <w:rPr>
                <w:rFonts w:hint="eastAsia" w:ascii="仿宋_GB2312" w:eastAsia="仿宋_GB2312"/>
                <w:b/>
                <w:sz w:val="24"/>
                <w:szCs w:val="24"/>
              </w:rPr>
              <w:t>工作安排</w:t>
            </w:r>
          </w:p>
        </w:tc>
        <w:tc>
          <w:tcPr>
            <w:tcW w:w="5555" w:type="dxa"/>
          </w:tcPr>
          <w:p>
            <w:pPr>
              <w:spacing w:line="440" w:lineRule="exact"/>
              <w:jc w:val="center"/>
              <w:textAlignment w:val="baseline"/>
              <w:rPr>
                <w:rFonts w:ascii="仿宋_GB2312" w:eastAsia="仿宋_GB2312"/>
                <w:b/>
                <w:sz w:val="24"/>
                <w:szCs w:val="24"/>
              </w:rPr>
            </w:pPr>
            <w:r>
              <w:rPr>
                <w:rFonts w:hint="eastAsia" w:ascii="仿宋_GB2312" w:eastAsia="仿宋_GB2312"/>
                <w:b/>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7" w:hRule="atLeast"/>
          <w:jc w:val="center"/>
        </w:trPr>
        <w:tc>
          <w:tcPr>
            <w:tcW w:w="1689" w:type="dxa"/>
            <w:vAlign w:val="center"/>
          </w:tcPr>
          <w:p>
            <w:pPr>
              <w:spacing w:line="360" w:lineRule="exact"/>
              <w:jc w:val="center"/>
              <w:textAlignment w:val="baseline"/>
              <w:rPr>
                <w:rFonts w:ascii="仿宋_GB2312" w:eastAsia="仿宋_GB2312"/>
                <w:b/>
                <w:sz w:val="24"/>
                <w:szCs w:val="24"/>
              </w:rPr>
            </w:pPr>
            <w:r>
              <w:rPr>
                <w:rFonts w:hint="eastAsia" w:ascii="仿宋_GB2312" w:eastAsia="仿宋_GB2312"/>
                <w:b/>
                <w:sz w:val="24"/>
                <w:szCs w:val="24"/>
                <w:lang w:val="en-US" w:eastAsia="zh-CN"/>
              </w:rPr>
              <w:t>4</w:t>
            </w:r>
            <w:r>
              <w:rPr>
                <w:rFonts w:hint="eastAsia" w:ascii="仿宋_GB2312" w:eastAsia="仿宋_GB2312"/>
                <w:b/>
                <w:sz w:val="24"/>
                <w:szCs w:val="24"/>
              </w:rPr>
              <w:t>月</w:t>
            </w:r>
            <w:r>
              <w:rPr>
                <w:rFonts w:hint="eastAsia" w:ascii="仿宋_GB2312" w:eastAsia="仿宋_GB2312"/>
                <w:b/>
                <w:sz w:val="24"/>
                <w:szCs w:val="24"/>
                <w:lang w:val="en-US" w:eastAsia="zh-CN"/>
              </w:rPr>
              <w:t>2</w:t>
            </w:r>
            <w:r>
              <w:rPr>
                <w:rFonts w:hint="eastAsia" w:ascii="仿宋_GB2312" w:eastAsia="仿宋_GB2312"/>
                <w:b/>
                <w:sz w:val="24"/>
                <w:szCs w:val="24"/>
              </w:rPr>
              <w:t>日前</w:t>
            </w:r>
          </w:p>
        </w:tc>
        <w:tc>
          <w:tcPr>
            <w:tcW w:w="1798" w:type="dxa"/>
            <w:vAlign w:val="center"/>
          </w:tcPr>
          <w:p>
            <w:pPr>
              <w:spacing w:line="360" w:lineRule="exact"/>
              <w:textAlignment w:val="baseline"/>
              <w:rPr>
                <w:rFonts w:ascii="仿宋_GB2312" w:eastAsia="仿宋_GB2312"/>
                <w:b/>
                <w:sz w:val="24"/>
                <w:szCs w:val="24"/>
              </w:rPr>
            </w:pPr>
            <w:r>
              <w:rPr>
                <w:rFonts w:hint="eastAsia" w:ascii="仿宋_GB2312" w:eastAsia="仿宋_GB2312"/>
                <w:b/>
                <w:sz w:val="24"/>
                <w:szCs w:val="24"/>
              </w:rPr>
              <w:t>资格审查：</w:t>
            </w:r>
          </w:p>
          <w:p>
            <w:pPr>
              <w:spacing w:line="360" w:lineRule="exact"/>
              <w:textAlignment w:val="baseline"/>
              <w:rPr>
                <w:rFonts w:ascii="仿宋_GB2312" w:eastAsia="仿宋_GB2312"/>
                <w:sz w:val="24"/>
                <w:szCs w:val="24"/>
              </w:rPr>
            </w:pPr>
            <w:r>
              <w:rPr>
                <w:rFonts w:hint="eastAsia" w:ascii="仿宋_GB2312" w:eastAsia="仿宋_GB2312"/>
                <w:sz w:val="24"/>
                <w:szCs w:val="24"/>
              </w:rPr>
              <w:t>1.签订承诺书；</w:t>
            </w:r>
          </w:p>
          <w:p>
            <w:pPr>
              <w:spacing w:line="360" w:lineRule="exact"/>
              <w:textAlignment w:val="baseline"/>
              <w:rPr>
                <w:rFonts w:ascii="仿宋_GB2312" w:eastAsia="仿宋_GB2312"/>
                <w:sz w:val="24"/>
                <w:szCs w:val="24"/>
              </w:rPr>
            </w:pPr>
            <w:r>
              <w:rPr>
                <w:rFonts w:hint="eastAsia" w:ascii="仿宋_GB2312" w:eastAsia="仿宋_GB2312"/>
                <w:sz w:val="24"/>
                <w:szCs w:val="24"/>
              </w:rPr>
              <w:t>2.考生电子材料上传；</w:t>
            </w:r>
          </w:p>
          <w:p>
            <w:pPr>
              <w:spacing w:line="360" w:lineRule="exact"/>
              <w:textAlignment w:val="baseline"/>
              <w:rPr>
                <w:rFonts w:ascii="仿宋_GB2312" w:eastAsia="仿宋_GB2312"/>
                <w:sz w:val="24"/>
                <w:szCs w:val="24"/>
              </w:rPr>
            </w:pPr>
            <w:r>
              <w:rPr>
                <w:rFonts w:hint="eastAsia" w:ascii="仿宋_GB2312" w:eastAsia="仿宋_GB2312"/>
                <w:sz w:val="24"/>
                <w:szCs w:val="24"/>
              </w:rPr>
              <w:t>3.材料原件于入学复查时再核对，如发现复试考生有弄虚作假，一经查实，一律取消复试或录取资格。</w:t>
            </w:r>
          </w:p>
        </w:tc>
        <w:tc>
          <w:tcPr>
            <w:tcW w:w="5555" w:type="dxa"/>
          </w:tcPr>
          <w:p>
            <w:pPr>
              <w:spacing w:line="340" w:lineRule="exact"/>
              <w:textAlignment w:val="baseline"/>
              <w:rPr>
                <w:rFonts w:ascii="仿宋_GB2312" w:eastAsia="仿宋_GB2312"/>
                <w:b/>
                <w:sz w:val="24"/>
                <w:szCs w:val="24"/>
              </w:rPr>
            </w:pPr>
            <w:r>
              <w:rPr>
                <w:rFonts w:hint="eastAsia" w:ascii="仿宋_GB2312" w:eastAsia="仿宋_GB2312"/>
                <w:b/>
                <w:sz w:val="24"/>
                <w:szCs w:val="24"/>
              </w:rPr>
              <w:t>1.应届考生需准备的材料:</w:t>
            </w:r>
          </w:p>
          <w:p>
            <w:pPr>
              <w:spacing w:line="340" w:lineRule="exact"/>
              <w:textAlignment w:val="baseline"/>
              <w:rPr>
                <w:rFonts w:ascii="仿宋_GB2312" w:eastAsia="仿宋_GB2312"/>
                <w:sz w:val="24"/>
                <w:szCs w:val="24"/>
              </w:rPr>
            </w:pPr>
            <w:r>
              <w:rPr>
                <w:rFonts w:hint="eastAsia" w:ascii="仿宋_GB2312" w:eastAsia="仿宋_GB2312"/>
                <w:sz w:val="24"/>
                <w:szCs w:val="24"/>
              </w:rPr>
              <w:t>①本人准考证(登陆研招网打印)；</w:t>
            </w:r>
          </w:p>
          <w:p>
            <w:pPr>
              <w:spacing w:line="340" w:lineRule="exact"/>
              <w:textAlignment w:val="baseline"/>
              <w:rPr>
                <w:rFonts w:ascii="仿宋_GB2312" w:eastAsia="仿宋_GB2312"/>
                <w:sz w:val="24"/>
                <w:szCs w:val="24"/>
              </w:rPr>
            </w:pPr>
            <w:r>
              <w:rPr>
                <w:rFonts w:hint="eastAsia" w:ascii="仿宋_GB2312" w:eastAsia="仿宋_GB2312"/>
                <w:sz w:val="24"/>
                <w:szCs w:val="24"/>
              </w:rPr>
              <w:t>②身份证(原件及复印件)；</w:t>
            </w:r>
          </w:p>
          <w:p>
            <w:pPr>
              <w:spacing w:line="340" w:lineRule="exact"/>
              <w:textAlignment w:val="baseline"/>
              <w:rPr>
                <w:rFonts w:ascii="仿宋_GB2312" w:eastAsia="仿宋_GB2312"/>
                <w:sz w:val="24"/>
                <w:szCs w:val="24"/>
              </w:rPr>
            </w:pPr>
            <w:r>
              <w:rPr>
                <w:rFonts w:hint="eastAsia" w:ascii="仿宋_GB2312" w:eastAsia="仿宋_GB2312"/>
                <w:sz w:val="24"/>
                <w:szCs w:val="24"/>
              </w:rPr>
              <w:t>③学生证(原件及复印件)；</w:t>
            </w:r>
          </w:p>
          <w:p>
            <w:pPr>
              <w:spacing w:line="340" w:lineRule="exact"/>
              <w:textAlignment w:val="baseline"/>
              <w:rPr>
                <w:rFonts w:ascii="仿宋_GB2312" w:eastAsia="仿宋_GB2312"/>
                <w:sz w:val="24"/>
                <w:szCs w:val="24"/>
              </w:rPr>
            </w:pPr>
            <w:r>
              <w:rPr>
                <w:rFonts w:hint="eastAsia" w:ascii="仿宋_GB2312" w:eastAsia="仿宋_GB2312"/>
                <w:sz w:val="24"/>
                <w:szCs w:val="24"/>
              </w:rPr>
              <w:t>④</w:t>
            </w:r>
            <w:r>
              <w:rPr>
                <w:rFonts w:hint="eastAsia" w:ascii="仿宋_GB2312" w:eastAsia="仿宋_GB2312"/>
                <w:w w:val="98"/>
                <w:sz w:val="24"/>
                <w:szCs w:val="24"/>
              </w:rPr>
              <w:t>大学期间成绩单复印件(加盖学校教务部门公章)；</w:t>
            </w:r>
          </w:p>
          <w:p>
            <w:pPr>
              <w:spacing w:line="340" w:lineRule="exact"/>
              <w:textAlignment w:val="baseline"/>
              <w:rPr>
                <w:rFonts w:ascii="仿宋_GB2312" w:eastAsia="仿宋_GB2312"/>
                <w:sz w:val="24"/>
                <w:szCs w:val="24"/>
              </w:rPr>
            </w:pPr>
            <w:r>
              <w:rPr>
                <w:rFonts w:hint="eastAsia" w:ascii="仿宋_GB2312" w:eastAsia="仿宋_GB2312"/>
                <w:sz w:val="24"/>
                <w:szCs w:val="24"/>
              </w:rPr>
              <w:t>⑤教育部学籍在线验证报告(无法通过在线验证的，须咨询所在学校学籍管理部门更正学籍注册信息)；</w:t>
            </w:r>
          </w:p>
          <w:p>
            <w:pPr>
              <w:spacing w:line="340" w:lineRule="exact"/>
              <w:textAlignment w:val="baseline"/>
              <w:rPr>
                <w:rFonts w:ascii="仿宋_GB2312" w:eastAsia="仿宋_GB2312"/>
                <w:sz w:val="24"/>
                <w:szCs w:val="24"/>
              </w:rPr>
            </w:pPr>
            <w:r>
              <w:rPr>
                <w:rFonts w:hint="eastAsia" w:ascii="仿宋_GB2312" w:eastAsia="仿宋_GB2312"/>
                <w:w w:val="98"/>
                <w:sz w:val="24"/>
                <w:szCs w:val="24"/>
              </w:rPr>
              <w:t>⑥还未毕业但在202</w:t>
            </w:r>
            <w:r>
              <w:rPr>
                <w:rFonts w:hint="eastAsia" w:ascii="仿宋_GB2312" w:eastAsia="仿宋_GB2312"/>
                <w:w w:val="98"/>
                <w:sz w:val="24"/>
                <w:szCs w:val="24"/>
                <w:lang w:val="en-US" w:eastAsia="zh-CN"/>
              </w:rPr>
              <w:t>2</w:t>
            </w:r>
            <w:r>
              <w:rPr>
                <w:rFonts w:hint="eastAsia" w:ascii="仿宋_GB2312" w:eastAsia="仿宋_GB2312"/>
                <w:w w:val="98"/>
                <w:sz w:val="24"/>
                <w:szCs w:val="24"/>
              </w:rPr>
              <w:t>年9月1日前可取得国家承认本科毕业证书的自学考试和网络教育本科生，还须验证考籍卡(证)、填写承诺书，保证202</w:t>
            </w:r>
            <w:r>
              <w:rPr>
                <w:rFonts w:hint="eastAsia" w:ascii="仿宋_GB2312" w:eastAsia="仿宋_GB2312"/>
                <w:w w:val="98"/>
                <w:sz w:val="24"/>
                <w:szCs w:val="24"/>
                <w:lang w:val="en-US" w:eastAsia="zh-CN"/>
              </w:rPr>
              <w:t>2</w:t>
            </w:r>
            <w:r>
              <w:rPr>
                <w:rFonts w:hint="eastAsia" w:ascii="仿宋_GB2312" w:eastAsia="仿宋_GB2312"/>
                <w:w w:val="98"/>
                <w:sz w:val="24"/>
                <w:szCs w:val="24"/>
              </w:rPr>
              <w:t>年9月1日前可以毕业并符合招生简章规定的其他报名条件；</w:t>
            </w:r>
          </w:p>
          <w:p>
            <w:pPr>
              <w:spacing w:line="340" w:lineRule="exact"/>
              <w:textAlignment w:val="baseline"/>
              <w:rPr>
                <w:rFonts w:ascii="仿宋_GB2312" w:eastAsia="仿宋_GB2312"/>
                <w:sz w:val="24"/>
                <w:szCs w:val="24"/>
              </w:rPr>
            </w:pPr>
            <w:r>
              <w:rPr>
                <w:rFonts w:hint="eastAsia" w:ascii="仿宋_GB2312" w:eastAsia="仿宋_GB2312"/>
                <w:sz w:val="24"/>
                <w:szCs w:val="24"/>
              </w:rPr>
              <w:t>⑦湖南农业大学202</w:t>
            </w:r>
            <w:r>
              <w:rPr>
                <w:rFonts w:hint="eastAsia" w:ascii="仿宋_GB2312" w:eastAsia="仿宋_GB2312"/>
                <w:sz w:val="24"/>
                <w:szCs w:val="24"/>
                <w:lang w:val="en-US" w:eastAsia="zh-CN"/>
              </w:rPr>
              <w:t>2</w:t>
            </w:r>
            <w:r>
              <w:rPr>
                <w:rFonts w:hint="eastAsia" w:ascii="仿宋_GB2312" w:eastAsia="仿宋_GB2312"/>
                <w:sz w:val="24"/>
                <w:szCs w:val="24"/>
              </w:rPr>
              <w:t>年硕士研究生招生综合评价表(加盖单位公章)。</w:t>
            </w:r>
          </w:p>
          <w:p>
            <w:pPr>
              <w:spacing w:line="340" w:lineRule="exact"/>
              <w:textAlignment w:val="baseline"/>
              <w:rPr>
                <w:rFonts w:ascii="仿宋_GB2312" w:eastAsia="仿宋_GB2312"/>
                <w:b/>
                <w:sz w:val="24"/>
                <w:szCs w:val="24"/>
              </w:rPr>
            </w:pPr>
            <w:r>
              <w:rPr>
                <w:rFonts w:hint="eastAsia" w:ascii="仿宋_GB2312" w:eastAsia="仿宋_GB2312"/>
                <w:b/>
                <w:sz w:val="24"/>
                <w:szCs w:val="24"/>
              </w:rPr>
              <w:t>2.往届考生需准备的材料:</w:t>
            </w:r>
          </w:p>
          <w:p>
            <w:pPr>
              <w:spacing w:line="340" w:lineRule="exact"/>
              <w:textAlignment w:val="baseline"/>
              <w:rPr>
                <w:rFonts w:ascii="仿宋_GB2312" w:eastAsia="仿宋_GB2312"/>
                <w:sz w:val="24"/>
                <w:szCs w:val="24"/>
              </w:rPr>
            </w:pPr>
            <w:r>
              <w:rPr>
                <w:rFonts w:hint="eastAsia" w:ascii="仿宋_GB2312" w:eastAsia="仿宋_GB2312"/>
                <w:sz w:val="24"/>
                <w:szCs w:val="24"/>
              </w:rPr>
              <w:t>①本人准考证(登陆研招网打印)；</w:t>
            </w:r>
          </w:p>
          <w:p>
            <w:pPr>
              <w:spacing w:line="340" w:lineRule="exact"/>
              <w:textAlignment w:val="baseline"/>
              <w:rPr>
                <w:rFonts w:ascii="仿宋_GB2312" w:eastAsia="仿宋_GB2312"/>
                <w:sz w:val="24"/>
                <w:szCs w:val="24"/>
              </w:rPr>
            </w:pPr>
            <w:r>
              <w:rPr>
                <w:rFonts w:hint="eastAsia" w:ascii="仿宋_GB2312" w:eastAsia="仿宋_GB2312"/>
                <w:sz w:val="24"/>
                <w:szCs w:val="24"/>
              </w:rPr>
              <w:t>②身份证(原件及复印件)；</w:t>
            </w:r>
          </w:p>
          <w:p>
            <w:pPr>
              <w:spacing w:line="340" w:lineRule="exact"/>
              <w:textAlignment w:val="baseline"/>
              <w:rPr>
                <w:rFonts w:ascii="仿宋_GB2312" w:eastAsia="仿宋_GB2312"/>
                <w:sz w:val="24"/>
                <w:szCs w:val="24"/>
              </w:rPr>
            </w:pPr>
            <w:r>
              <w:rPr>
                <w:rFonts w:hint="eastAsia" w:ascii="仿宋_GB2312" w:eastAsia="仿宋_GB2312"/>
                <w:sz w:val="24"/>
                <w:szCs w:val="24"/>
              </w:rPr>
              <w:t>③学历学位证原件及复印件；</w:t>
            </w:r>
          </w:p>
          <w:p>
            <w:pPr>
              <w:spacing w:line="340" w:lineRule="exact"/>
              <w:textAlignment w:val="baseline"/>
              <w:rPr>
                <w:rFonts w:ascii="仿宋_GB2312" w:eastAsia="仿宋_GB2312"/>
                <w:sz w:val="24"/>
                <w:szCs w:val="24"/>
              </w:rPr>
            </w:pPr>
            <w:r>
              <w:rPr>
                <w:rFonts w:hint="eastAsia" w:ascii="仿宋_GB2312" w:eastAsia="仿宋_GB2312"/>
                <w:sz w:val="24"/>
                <w:szCs w:val="24"/>
              </w:rPr>
              <w:t>④教育部学历证书电子注册备案表(无法通过在线验证获得备案表的，须提供书面学历认证报告)；持国外学历报名考生，资格审查时还需出具教育部留学服务中心出具的留学认证材料原件和复印件；</w:t>
            </w:r>
          </w:p>
          <w:p>
            <w:pPr>
              <w:spacing w:line="340" w:lineRule="exact"/>
              <w:textAlignment w:val="baseline"/>
              <w:rPr>
                <w:rFonts w:ascii="仿宋_GB2312" w:eastAsia="仿宋_GB2312"/>
                <w:sz w:val="24"/>
                <w:szCs w:val="24"/>
              </w:rPr>
            </w:pPr>
            <w:r>
              <w:rPr>
                <w:rFonts w:hint="eastAsia" w:ascii="仿宋_GB2312" w:eastAsia="仿宋_GB2312"/>
                <w:sz w:val="24"/>
                <w:szCs w:val="24"/>
              </w:rPr>
              <w:t>⑤湖南农业大学202</w:t>
            </w:r>
            <w:r>
              <w:rPr>
                <w:rFonts w:hint="eastAsia" w:ascii="仿宋_GB2312" w:eastAsia="仿宋_GB2312"/>
                <w:sz w:val="24"/>
                <w:szCs w:val="24"/>
                <w:lang w:val="en-US" w:eastAsia="zh-CN"/>
              </w:rPr>
              <w:t>2</w:t>
            </w:r>
            <w:r>
              <w:rPr>
                <w:rFonts w:hint="eastAsia" w:ascii="仿宋_GB2312" w:eastAsia="仿宋_GB2312"/>
                <w:sz w:val="24"/>
                <w:szCs w:val="24"/>
              </w:rPr>
              <w:t>年硕士研究生招生综合评价表(加盖单位公章)。</w:t>
            </w:r>
          </w:p>
          <w:p>
            <w:pPr>
              <w:spacing w:line="340" w:lineRule="exact"/>
              <w:textAlignment w:val="baseline"/>
              <w:rPr>
                <w:rFonts w:ascii="仿宋_GB2312" w:eastAsia="仿宋_GB2312"/>
                <w:b/>
                <w:sz w:val="24"/>
                <w:szCs w:val="24"/>
              </w:rPr>
            </w:pPr>
            <w:r>
              <w:rPr>
                <w:rFonts w:hint="eastAsia" w:ascii="仿宋_GB2312" w:eastAsia="仿宋_GB2312"/>
                <w:b/>
                <w:sz w:val="24"/>
                <w:szCs w:val="24"/>
              </w:rPr>
              <w:t>3.其它情况:</w:t>
            </w:r>
          </w:p>
          <w:p>
            <w:pPr>
              <w:spacing w:line="340" w:lineRule="exact"/>
              <w:textAlignment w:val="baseline"/>
              <w:rPr>
                <w:rFonts w:ascii="仿宋_GB2312" w:eastAsia="仿宋_GB2312"/>
                <w:sz w:val="24"/>
                <w:szCs w:val="24"/>
              </w:rPr>
            </w:pPr>
            <w:r>
              <w:rPr>
                <w:rFonts w:hint="eastAsia" w:ascii="仿宋_GB2312" w:eastAsia="仿宋_GB2312"/>
                <w:sz w:val="24"/>
                <w:szCs w:val="24"/>
              </w:rPr>
              <w:t>①享受加分政策的考生(如大学生村官、大学生志愿服务西部计划、三支一扶等)须提交相关证明材料。</w:t>
            </w:r>
          </w:p>
          <w:p>
            <w:pPr>
              <w:spacing w:line="340" w:lineRule="exact"/>
              <w:textAlignment w:val="baseline"/>
              <w:rPr>
                <w:rFonts w:ascii="仿宋_GB2312" w:eastAsia="仿宋_GB2312"/>
                <w:w w:val="98"/>
                <w:sz w:val="24"/>
                <w:szCs w:val="24"/>
              </w:rPr>
            </w:pPr>
            <w:r>
              <w:rPr>
                <w:rFonts w:hint="eastAsia" w:ascii="仿宋_GB2312" w:eastAsia="仿宋_GB2312"/>
                <w:w w:val="98"/>
                <w:sz w:val="24"/>
                <w:szCs w:val="24"/>
              </w:rPr>
              <w:t>②报考“退役大学生士兵”专项硕士研究生招生计划的考生还须提交本人《入伍批准书》和《退出现役证》。</w:t>
            </w:r>
          </w:p>
          <w:p>
            <w:pPr>
              <w:spacing w:line="340" w:lineRule="exact"/>
              <w:textAlignment w:val="baseline"/>
              <w:rPr>
                <w:rFonts w:ascii="仿宋_GB2312" w:eastAsia="仿宋_GB2312"/>
                <w:sz w:val="24"/>
                <w:szCs w:val="24"/>
              </w:rPr>
            </w:pPr>
            <w:r>
              <w:rPr>
                <w:rFonts w:hint="eastAsia" w:ascii="仿宋_GB2312" w:eastAsia="仿宋_GB2312"/>
                <w:sz w:val="24"/>
                <w:szCs w:val="24"/>
              </w:rPr>
              <w:t>③复试相关表格可在我校研招网下载:</w:t>
            </w:r>
          </w:p>
          <w:p>
            <w:pPr>
              <w:spacing w:line="340" w:lineRule="exact"/>
              <w:textAlignment w:val="baseline"/>
              <w:rPr>
                <w:rFonts w:hint="eastAsia" w:ascii="仿宋_GB2312" w:eastAsia="仿宋_GB2312"/>
                <w:w w:val="91"/>
                <w:sz w:val="24"/>
                <w:szCs w:val="24"/>
              </w:rPr>
            </w:pPr>
            <w:r>
              <w:rPr>
                <w:rFonts w:hint="eastAsia" w:ascii="仿宋_GB2312" w:eastAsia="仿宋_GB2312"/>
                <w:w w:val="91"/>
                <w:sz w:val="24"/>
                <w:szCs w:val="24"/>
              </w:rPr>
              <w:t>(http://yjsy.hunau.edu.cn/yjszs/sszs/xgxz_1595/)</w:t>
            </w:r>
          </w:p>
          <w:p>
            <w:pPr>
              <w:spacing w:line="340" w:lineRule="exact"/>
              <w:textAlignment w:val="baseline"/>
              <w:rPr>
                <w:rFonts w:hint="eastAsia" w:ascii="仿宋_GB2312" w:eastAsia="仿宋_GB2312"/>
                <w:w w:val="91"/>
                <w:sz w:val="24"/>
                <w:szCs w:val="24"/>
                <w:lang w:eastAsia="zh-CN"/>
              </w:rPr>
            </w:pPr>
            <w:r>
              <w:rPr>
                <w:rFonts w:hint="eastAsia" w:ascii="仿宋_GB2312" w:eastAsia="仿宋_GB2312"/>
                <w:b/>
                <w:bCs/>
                <w:w w:val="91"/>
                <w:sz w:val="24"/>
                <w:szCs w:val="24"/>
                <w:lang w:val="en-US" w:eastAsia="zh-CN"/>
              </w:rPr>
              <w:t>注：</w:t>
            </w:r>
            <w:r>
              <w:rPr>
                <w:rFonts w:hint="eastAsia" w:ascii="仿宋_GB2312" w:eastAsia="仿宋_GB2312"/>
                <w:b/>
                <w:bCs/>
                <w:w w:val="91"/>
                <w:sz w:val="24"/>
                <w:szCs w:val="24"/>
              </w:rPr>
              <w:t>因疫情防控导致部分材料无法办理并提供的，请提交情况说明并承诺后期补交</w:t>
            </w:r>
            <w:r>
              <w:rPr>
                <w:rFonts w:hint="eastAsia" w:ascii="仿宋_GB2312" w:eastAsia="仿宋_GB2312"/>
                <w:b/>
                <w:bCs/>
                <w:w w:val="9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1689" w:type="dxa"/>
            <w:vAlign w:val="center"/>
          </w:tcPr>
          <w:p>
            <w:pPr>
              <w:spacing w:line="360" w:lineRule="exact"/>
              <w:jc w:val="center"/>
              <w:textAlignment w:val="baseline"/>
              <w:rPr>
                <w:rFonts w:hint="default" w:ascii="仿宋_GB2312" w:eastAsia="仿宋_GB2312"/>
                <w:b/>
                <w:sz w:val="24"/>
                <w:szCs w:val="24"/>
                <w:lang w:val="en-US" w:eastAsia="zh-CN"/>
              </w:rPr>
            </w:pPr>
            <w:r>
              <w:rPr>
                <w:rFonts w:hint="eastAsia" w:ascii="仿宋_GB2312" w:eastAsia="仿宋_GB2312"/>
                <w:b/>
                <w:sz w:val="24"/>
                <w:szCs w:val="24"/>
                <w:lang w:val="en-US" w:eastAsia="zh-CN"/>
              </w:rPr>
              <w:t>4月2日前</w:t>
            </w:r>
          </w:p>
        </w:tc>
        <w:tc>
          <w:tcPr>
            <w:tcW w:w="1798" w:type="dxa"/>
            <w:vAlign w:val="center"/>
          </w:tcPr>
          <w:p>
            <w:pPr>
              <w:spacing w:line="360" w:lineRule="exact"/>
              <w:textAlignment w:val="baseline"/>
              <w:rPr>
                <w:rFonts w:ascii="仿宋_GB2312" w:eastAsia="仿宋_GB2312"/>
                <w:b/>
                <w:sz w:val="24"/>
                <w:szCs w:val="24"/>
              </w:rPr>
            </w:pPr>
            <w:r>
              <w:rPr>
                <w:rFonts w:hint="eastAsia" w:ascii="仿宋_GB2312" w:eastAsia="仿宋_GB2312"/>
                <w:b/>
                <w:w w:val="93"/>
                <w:sz w:val="24"/>
                <w:szCs w:val="24"/>
              </w:rPr>
              <w:t>体检及心理测试</w:t>
            </w:r>
          </w:p>
        </w:tc>
        <w:tc>
          <w:tcPr>
            <w:tcW w:w="555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仿宋_GB2312" w:eastAsia="仿宋_GB2312"/>
                <w:w w:val="95"/>
                <w:sz w:val="24"/>
                <w:szCs w:val="24"/>
              </w:rPr>
            </w:pPr>
            <w:r>
              <w:rPr>
                <w:rFonts w:hint="eastAsia" w:ascii="仿宋_GB2312" w:eastAsia="仿宋_GB2312"/>
                <w:w w:val="95"/>
                <w:sz w:val="24"/>
                <w:szCs w:val="24"/>
              </w:rPr>
              <w:t>1.所有参加复试的考生必须进行心理健康测试和体检。</w:t>
            </w:r>
          </w:p>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仿宋_GB2312" w:eastAsia="仿宋_GB2312"/>
                <w:sz w:val="24"/>
                <w:szCs w:val="24"/>
              </w:rPr>
            </w:pPr>
            <w:r>
              <w:rPr>
                <w:rFonts w:hint="eastAsia" w:ascii="仿宋_GB2312" w:eastAsia="仿宋_GB2312"/>
                <w:sz w:val="24"/>
                <w:szCs w:val="24"/>
              </w:rPr>
              <w:t>2.心理健康测试具体操作程序及时间安排见研究生院网站主页通知。</w:t>
            </w:r>
          </w:p>
          <w:p>
            <w:pPr>
              <w:keepNext w:val="0"/>
              <w:keepLines w:val="0"/>
              <w:pageBreakBefore w:val="0"/>
              <w:widowControl w:val="0"/>
              <w:kinsoku/>
              <w:wordWrap/>
              <w:overflowPunct/>
              <w:topLinePunct w:val="0"/>
              <w:autoSpaceDE/>
              <w:autoSpaceDN/>
              <w:bidi w:val="0"/>
              <w:adjustRightInd/>
              <w:snapToGrid/>
              <w:spacing w:line="320" w:lineRule="exact"/>
              <w:textAlignment w:val="baseline"/>
              <w:rPr>
                <w:rFonts w:ascii="仿宋_GB2312" w:eastAsia="仿宋_GB2312"/>
                <w:sz w:val="24"/>
                <w:szCs w:val="24"/>
              </w:rPr>
            </w:pPr>
            <w:r>
              <w:rPr>
                <w:rFonts w:hint="eastAsia" w:ascii="仿宋_GB2312" w:eastAsia="仿宋_GB2312"/>
                <w:sz w:val="24"/>
                <w:szCs w:val="24"/>
              </w:rPr>
              <w:t>3.学校不统一组织体检，考生自行到所在地二级甲等以上医院按照《普通高等学校招生体检标准》和《湖南农业大学202</w:t>
            </w:r>
            <w:r>
              <w:rPr>
                <w:rFonts w:hint="eastAsia" w:ascii="仿宋_GB2312" w:eastAsia="仿宋_GB2312"/>
                <w:sz w:val="24"/>
                <w:szCs w:val="24"/>
                <w:lang w:val="en-US" w:eastAsia="zh-CN"/>
              </w:rPr>
              <w:t>2</w:t>
            </w:r>
            <w:r>
              <w:rPr>
                <w:rFonts w:hint="eastAsia" w:ascii="仿宋_GB2312" w:eastAsia="仿宋_GB2312"/>
                <w:sz w:val="24"/>
                <w:szCs w:val="24"/>
              </w:rPr>
              <w:t>级研究生复试体检表》以及相关补充规定要求进行，并按要求将体检报告在复试前上传至学校提供的平台。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2" w:hRule="atLeast"/>
          <w:jc w:val="center"/>
        </w:trPr>
        <w:tc>
          <w:tcPr>
            <w:tcW w:w="1689" w:type="dxa"/>
            <w:vAlign w:val="center"/>
          </w:tcPr>
          <w:p>
            <w:pPr>
              <w:spacing w:line="360" w:lineRule="exact"/>
              <w:jc w:val="center"/>
              <w:textAlignment w:val="baseline"/>
              <w:rPr>
                <w:rFonts w:ascii="仿宋_GB2312" w:eastAsia="仿宋_GB2312"/>
                <w:b/>
                <w:sz w:val="24"/>
                <w:szCs w:val="24"/>
              </w:rPr>
            </w:pPr>
            <w:r>
              <w:rPr>
                <w:rFonts w:hint="eastAsia" w:ascii="仿宋_GB2312" w:eastAsia="仿宋_GB2312"/>
                <w:b/>
                <w:sz w:val="24"/>
                <w:szCs w:val="24"/>
              </w:rPr>
              <w:t>4月</w:t>
            </w:r>
            <w:r>
              <w:rPr>
                <w:rFonts w:hint="eastAsia" w:ascii="仿宋_GB2312" w:eastAsia="仿宋_GB2312"/>
                <w:b/>
                <w:sz w:val="24"/>
                <w:szCs w:val="24"/>
                <w:lang w:val="en-US" w:eastAsia="zh-CN"/>
              </w:rPr>
              <w:t>3</w:t>
            </w:r>
            <w:r>
              <w:rPr>
                <w:rFonts w:hint="eastAsia" w:ascii="仿宋_GB2312" w:eastAsia="仿宋_GB2312"/>
                <w:b/>
                <w:sz w:val="24"/>
                <w:szCs w:val="24"/>
              </w:rPr>
              <w:t>日</w:t>
            </w:r>
          </w:p>
        </w:tc>
        <w:tc>
          <w:tcPr>
            <w:tcW w:w="1798" w:type="dxa"/>
            <w:vAlign w:val="center"/>
          </w:tcPr>
          <w:p>
            <w:pPr>
              <w:spacing w:line="360" w:lineRule="exact"/>
              <w:textAlignment w:val="baseline"/>
              <w:rPr>
                <w:rFonts w:ascii="仿宋_GB2312" w:eastAsia="仿宋_GB2312"/>
                <w:b/>
                <w:sz w:val="24"/>
                <w:szCs w:val="24"/>
              </w:rPr>
            </w:pPr>
            <w:r>
              <w:rPr>
                <w:rFonts w:hint="eastAsia" w:ascii="仿宋_GB2312" w:eastAsia="仿宋_GB2312"/>
                <w:b/>
                <w:sz w:val="24"/>
                <w:szCs w:val="24"/>
              </w:rPr>
              <w:t>一志愿考生</w:t>
            </w:r>
          </w:p>
          <w:p>
            <w:pPr>
              <w:spacing w:line="360" w:lineRule="exact"/>
              <w:textAlignment w:val="baseline"/>
              <w:rPr>
                <w:rFonts w:ascii="仿宋_GB2312" w:eastAsia="仿宋_GB2312"/>
                <w:b/>
                <w:sz w:val="24"/>
                <w:szCs w:val="24"/>
              </w:rPr>
            </w:pPr>
            <w:r>
              <w:rPr>
                <w:rFonts w:hint="eastAsia" w:ascii="仿宋_GB2312" w:eastAsia="仿宋_GB2312"/>
                <w:b/>
                <w:sz w:val="24"/>
                <w:szCs w:val="24"/>
              </w:rPr>
              <w:t>面试</w:t>
            </w:r>
          </w:p>
        </w:tc>
        <w:tc>
          <w:tcPr>
            <w:tcW w:w="5555" w:type="dxa"/>
            <w:vAlign w:val="center"/>
          </w:tcPr>
          <w:p>
            <w:pPr>
              <w:spacing w:line="360" w:lineRule="exact"/>
              <w:textAlignment w:val="baseline"/>
              <w:rPr>
                <w:rFonts w:ascii="仿宋_GB2312" w:eastAsia="仿宋_GB2312"/>
                <w:b/>
                <w:sz w:val="24"/>
                <w:szCs w:val="24"/>
              </w:rPr>
            </w:pPr>
            <w:r>
              <w:rPr>
                <w:rFonts w:hint="eastAsia" w:ascii="仿宋_GB2312" w:eastAsia="仿宋_GB2312"/>
                <w:b/>
                <w:sz w:val="24"/>
                <w:szCs w:val="24"/>
              </w:rPr>
              <w:t>1.时间：</w:t>
            </w:r>
          </w:p>
          <w:p>
            <w:pPr>
              <w:spacing w:line="360" w:lineRule="exact"/>
              <w:textAlignment w:val="baseline"/>
              <w:rPr>
                <w:rFonts w:ascii="仿宋_GB2312" w:eastAsia="仿宋_GB2312"/>
                <w:sz w:val="24"/>
                <w:szCs w:val="24"/>
              </w:rPr>
            </w:pPr>
            <w:r>
              <w:rPr>
                <w:rFonts w:hint="eastAsia" w:ascii="仿宋_GB2312" w:eastAsia="仿宋_GB2312"/>
                <w:sz w:val="24"/>
                <w:szCs w:val="24"/>
              </w:rPr>
              <w:t>外国语言</w:t>
            </w:r>
            <w:r>
              <w:rPr>
                <w:rFonts w:hint="eastAsia" w:ascii="仿宋_GB2312" w:eastAsia="仿宋_GB2312"/>
                <w:sz w:val="24"/>
                <w:szCs w:val="24"/>
                <w:lang w:val="en-US" w:eastAsia="zh-CN"/>
              </w:rPr>
              <w:t>文</w:t>
            </w:r>
            <w:r>
              <w:rPr>
                <w:rFonts w:hint="eastAsia" w:ascii="仿宋_GB2312" w:eastAsia="仿宋_GB2312"/>
                <w:sz w:val="24"/>
                <w:szCs w:val="24"/>
              </w:rPr>
              <w:t>学：14:</w:t>
            </w:r>
            <w:r>
              <w:rPr>
                <w:rFonts w:hint="eastAsia" w:ascii="仿宋_GB2312" w:eastAsia="仿宋_GB2312"/>
                <w:sz w:val="24"/>
                <w:szCs w:val="24"/>
                <w:lang w:val="en-US" w:eastAsia="zh-CN"/>
              </w:rPr>
              <w:t>0</w:t>
            </w:r>
            <w:r>
              <w:rPr>
                <w:rFonts w:hint="eastAsia" w:ascii="仿宋_GB2312" w:eastAsia="仿宋_GB2312"/>
                <w:sz w:val="24"/>
                <w:szCs w:val="24"/>
              </w:rPr>
              <w:t>0开始</w:t>
            </w:r>
          </w:p>
          <w:p>
            <w:pPr>
              <w:spacing w:line="360" w:lineRule="exact"/>
              <w:textAlignment w:val="baseline"/>
              <w:rPr>
                <w:rFonts w:ascii="仿宋_GB2312" w:eastAsia="仿宋_GB2312"/>
                <w:sz w:val="24"/>
                <w:szCs w:val="24"/>
              </w:rPr>
            </w:pPr>
            <w:r>
              <w:rPr>
                <w:rFonts w:hint="eastAsia" w:ascii="仿宋_GB2312" w:eastAsia="仿宋_GB2312"/>
                <w:sz w:val="24"/>
                <w:szCs w:val="24"/>
              </w:rPr>
              <w:t>翻译硕士：14:</w:t>
            </w:r>
            <w:r>
              <w:rPr>
                <w:rFonts w:hint="eastAsia" w:ascii="仿宋_GB2312" w:eastAsia="仿宋_GB2312"/>
                <w:sz w:val="24"/>
                <w:szCs w:val="24"/>
                <w:lang w:val="en-US" w:eastAsia="zh-CN"/>
              </w:rPr>
              <w:t>0</w:t>
            </w:r>
            <w:r>
              <w:rPr>
                <w:rFonts w:hint="eastAsia" w:ascii="仿宋_GB2312" w:eastAsia="仿宋_GB2312"/>
                <w:sz w:val="24"/>
                <w:szCs w:val="24"/>
              </w:rPr>
              <w:t>0开始</w:t>
            </w:r>
          </w:p>
          <w:p>
            <w:pPr>
              <w:spacing w:line="360" w:lineRule="exact"/>
              <w:textAlignment w:val="baseline"/>
              <w:rPr>
                <w:rFonts w:ascii="仿宋_GB2312" w:eastAsia="仿宋_GB2312"/>
                <w:b/>
                <w:sz w:val="24"/>
                <w:szCs w:val="24"/>
              </w:rPr>
            </w:pPr>
            <w:r>
              <w:rPr>
                <w:rFonts w:hint="eastAsia" w:ascii="仿宋_GB2312" w:eastAsia="仿宋_GB2312"/>
                <w:b/>
                <w:sz w:val="24"/>
                <w:szCs w:val="24"/>
              </w:rPr>
              <w:t>2.平台：</w:t>
            </w:r>
          </w:p>
          <w:p>
            <w:pPr>
              <w:spacing w:line="360" w:lineRule="exact"/>
              <w:textAlignment w:val="baseline"/>
              <w:rPr>
                <w:rFonts w:ascii="仿宋_GB2312" w:eastAsia="仿宋_GB2312"/>
                <w:b/>
                <w:w w:val="95"/>
                <w:sz w:val="24"/>
                <w:szCs w:val="24"/>
              </w:rPr>
            </w:pPr>
            <w:r>
              <w:rPr>
                <w:rFonts w:hint="eastAsia" w:ascii="仿宋_GB2312" w:eastAsia="仿宋_GB2312"/>
                <w:b/>
                <w:w w:val="95"/>
                <w:sz w:val="24"/>
                <w:szCs w:val="24"/>
              </w:rPr>
              <w:t>“云视讯-云考场”（主平台）、腾讯会议（备用平台）</w:t>
            </w:r>
          </w:p>
          <w:p>
            <w:pPr>
              <w:spacing w:line="360" w:lineRule="exact"/>
              <w:textAlignment w:val="baseline"/>
              <w:rPr>
                <w:rFonts w:ascii="仿宋_GB2312" w:eastAsia="仿宋_GB2312"/>
                <w:b/>
                <w:sz w:val="24"/>
                <w:szCs w:val="24"/>
              </w:rPr>
            </w:pPr>
            <w:r>
              <w:rPr>
                <w:rFonts w:hint="eastAsia" w:ascii="仿宋_GB2312" w:eastAsia="仿宋_GB2312"/>
                <w:b/>
                <w:sz w:val="24"/>
                <w:szCs w:val="24"/>
              </w:rPr>
              <w:t>3.具体内容：</w:t>
            </w:r>
          </w:p>
          <w:p>
            <w:pPr>
              <w:spacing w:line="360" w:lineRule="exact"/>
              <w:textAlignment w:val="baseline"/>
              <w:rPr>
                <w:rFonts w:ascii="仿宋_GB2312" w:eastAsia="仿宋_GB2312"/>
                <w:sz w:val="24"/>
                <w:szCs w:val="24"/>
              </w:rPr>
            </w:pPr>
            <w:r>
              <w:rPr>
                <w:rFonts w:hint="eastAsia" w:ascii="仿宋_GB2312" w:eastAsia="仿宋_GB2312"/>
                <w:sz w:val="24"/>
                <w:szCs w:val="24"/>
              </w:rPr>
              <w:t xml:space="preserve">①考生自我介绍（英文，5分钟内），回答提问； </w:t>
            </w:r>
          </w:p>
          <w:p>
            <w:pPr>
              <w:spacing w:line="360" w:lineRule="exact"/>
              <w:textAlignment w:val="baseline"/>
              <w:rPr>
                <w:rFonts w:ascii="仿宋_GB2312" w:eastAsia="仿宋_GB2312"/>
                <w:sz w:val="24"/>
                <w:szCs w:val="24"/>
              </w:rPr>
            </w:pPr>
            <w:r>
              <w:rPr>
                <w:rFonts w:hint="eastAsia" w:ascii="仿宋_GB2312" w:eastAsia="仿宋_GB2312"/>
                <w:sz w:val="24"/>
                <w:szCs w:val="24"/>
              </w:rPr>
              <w:t xml:space="preserve">②考生本科毕业论文自述（英文，5分钟），抽签回答2道专业题； </w:t>
            </w:r>
          </w:p>
          <w:p>
            <w:pPr>
              <w:spacing w:line="360" w:lineRule="exact"/>
              <w:textAlignment w:val="baseline"/>
              <w:rPr>
                <w:rFonts w:ascii="仿宋_GB2312" w:eastAsia="仿宋_GB2312"/>
                <w:sz w:val="24"/>
                <w:szCs w:val="24"/>
              </w:rPr>
            </w:pPr>
            <w:r>
              <w:rPr>
                <w:rFonts w:hint="eastAsia" w:ascii="仿宋_GB2312" w:eastAsia="仿宋_GB2312"/>
                <w:sz w:val="24"/>
                <w:szCs w:val="24"/>
              </w:rPr>
              <w:t>③考生回答复试专家业务提问；</w:t>
            </w:r>
          </w:p>
          <w:p>
            <w:pPr>
              <w:spacing w:line="360" w:lineRule="exact"/>
              <w:textAlignment w:val="baseline"/>
              <w:rPr>
                <w:rFonts w:ascii="仿宋_GB2312" w:eastAsia="仿宋_GB2312"/>
                <w:sz w:val="24"/>
                <w:szCs w:val="24"/>
              </w:rPr>
            </w:pPr>
            <w:r>
              <w:rPr>
                <w:rFonts w:hint="eastAsia" w:ascii="仿宋_GB2312" w:eastAsia="仿宋_GB2312"/>
                <w:sz w:val="24"/>
                <w:szCs w:val="24"/>
              </w:rPr>
              <w:t xml:space="preserve">④英语听力和口语在面试时同步进行； </w:t>
            </w:r>
          </w:p>
          <w:p>
            <w:pPr>
              <w:spacing w:line="360" w:lineRule="exact"/>
              <w:textAlignment w:val="baseline"/>
              <w:rPr>
                <w:rFonts w:ascii="仿宋_GB2312" w:eastAsia="仿宋_GB2312"/>
                <w:sz w:val="24"/>
                <w:szCs w:val="24"/>
              </w:rPr>
            </w:pPr>
            <w:r>
              <w:rPr>
                <w:rFonts w:hint="eastAsia" w:ascii="仿宋_GB2312" w:eastAsia="仿宋_GB2312"/>
                <w:sz w:val="24"/>
                <w:szCs w:val="24"/>
              </w:rPr>
              <w:t>⑤专家根据考生现场表现独立进行评分。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689" w:type="dxa"/>
            <w:vAlign w:val="center"/>
          </w:tcPr>
          <w:p>
            <w:pPr>
              <w:spacing w:line="360" w:lineRule="exact"/>
              <w:jc w:val="center"/>
              <w:textAlignment w:val="baseline"/>
              <w:rPr>
                <w:rFonts w:ascii="仿宋_GB2312" w:eastAsia="仿宋_GB2312"/>
                <w:b/>
                <w:sz w:val="24"/>
                <w:szCs w:val="24"/>
              </w:rPr>
            </w:pPr>
            <w:r>
              <w:rPr>
                <w:rFonts w:hint="eastAsia" w:ascii="仿宋_GB2312" w:eastAsia="仿宋_GB2312"/>
                <w:b/>
                <w:sz w:val="24"/>
                <w:szCs w:val="24"/>
              </w:rPr>
              <w:t>4月</w:t>
            </w:r>
            <w:r>
              <w:rPr>
                <w:rFonts w:hint="eastAsia" w:ascii="仿宋_GB2312" w:eastAsia="仿宋_GB2312"/>
                <w:b/>
                <w:sz w:val="24"/>
                <w:szCs w:val="24"/>
                <w:lang w:val="en-US" w:eastAsia="zh-CN"/>
              </w:rPr>
              <w:t>3</w:t>
            </w:r>
            <w:r>
              <w:rPr>
                <w:rFonts w:hint="eastAsia" w:ascii="仿宋_GB2312" w:eastAsia="仿宋_GB2312"/>
                <w:b/>
                <w:sz w:val="24"/>
                <w:szCs w:val="24"/>
              </w:rPr>
              <w:t>-</w:t>
            </w:r>
            <w:r>
              <w:rPr>
                <w:rFonts w:hint="eastAsia" w:ascii="仿宋_GB2312" w:eastAsia="仿宋_GB2312"/>
                <w:b/>
                <w:sz w:val="24"/>
                <w:szCs w:val="24"/>
                <w:lang w:val="en-US" w:eastAsia="zh-CN"/>
              </w:rPr>
              <w:t>6</w:t>
            </w:r>
            <w:r>
              <w:rPr>
                <w:rFonts w:hint="eastAsia" w:ascii="仿宋_GB2312" w:eastAsia="仿宋_GB2312"/>
                <w:b/>
                <w:sz w:val="24"/>
                <w:szCs w:val="24"/>
              </w:rPr>
              <w:t>日</w:t>
            </w:r>
          </w:p>
        </w:tc>
        <w:tc>
          <w:tcPr>
            <w:tcW w:w="1798" w:type="dxa"/>
            <w:vAlign w:val="center"/>
          </w:tcPr>
          <w:p>
            <w:pPr>
              <w:spacing w:line="360" w:lineRule="exact"/>
              <w:textAlignment w:val="baseline"/>
              <w:rPr>
                <w:rFonts w:ascii="仿宋_GB2312" w:eastAsia="仿宋_GB2312"/>
                <w:b/>
                <w:sz w:val="24"/>
                <w:szCs w:val="24"/>
              </w:rPr>
            </w:pPr>
            <w:r>
              <w:rPr>
                <w:rFonts w:hint="eastAsia" w:ascii="仿宋_GB2312" w:eastAsia="仿宋_GB2312"/>
                <w:b/>
                <w:sz w:val="24"/>
                <w:szCs w:val="24"/>
              </w:rPr>
              <w:t>完成一志愿</w:t>
            </w:r>
          </w:p>
          <w:p>
            <w:pPr>
              <w:spacing w:line="360" w:lineRule="exact"/>
              <w:textAlignment w:val="baseline"/>
              <w:rPr>
                <w:rFonts w:ascii="仿宋_GB2312" w:eastAsia="仿宋_GB2312"/>
                <w:b/>
                <w:sz w:val="24"/>
                <w:szCs w:val="24"/>
              </w:rPr>
            </w:pPr>
            <w:r>
              <w:rPr>
                <w:rFonts w:hint="eastAsia" w:ascii="仿宋_GB2312" w:eastAsia="仿宋_GB2312"/>
                <w:b/>
                <w:sz w:val="24"/>
                <w:szCs w:val="24"/>
              </w:rPr>
              <w:t>考生复试工作</w:t>
            </w:r>
          </w:p>
        </w:tc>
        <w:tc>
          <w:tcPr>
            <w:tcW w:w="5555" w:type="dxa"/>
            <w:vAlign w:val="center"/>
          </w:tcPr>
          <w:p>
            <w:pPr>
              <w:spacing w:line="360" w:lineRule="exact"/>
              <w:textAlignment w:val="baseline"/>
              <w:rPr>
                <w:rFonts w:ascii="仿宋_GB2312" w:eastAsia="仿宋_GB2312"/>
                <w:sz w:val="24"/>
                <w:szCs w:val="24"/>
              </w:rPr>
            </w:pPr>
            <w:r>
              <w:rPr>
                <w:rFonts w:hint="eastAsia" w:ascii="仿宋_GB2312" w:eastAsia="仿宋_GB2312"/>
                <w:sz w:val="24"/>
                <w:szCs w:val="24"/>
              </w:rPr>
              <w:t>1. 综合成绩计算，排名；</w:t>
            </w:r>
          </w:p>
          <w:p>
            <w:pPr>
              <w:spacing w:line="360" w:lineRule="exact"/>
              <w:textAlignment w:val="baseline"/>
              <w:rPr>
                <w:rFonts w:ascii="仿宋_GB2312" w:eastAsia="仿宋_GB2312"/>
                <w:b/>
                <w:sz w:val="24"/>
                <w:szCs w:val="24"/>
              </w:rPr>
            </w:pPr>
            <w:r>
              <w:rPr>
                <w:rFonts w:hint="eastAsia" w:ascii="仿宋_GB2312" w:eastAsia="仿宋_GB2312"/>
                <w:sz w:val="24"/>
                <w:szCs w:val="24"/>
              </w:rPr>
              <w:t>2. 成绩报送研招办，并将视频复试录像和专家签字的纸质版成绩单上交研招办留存备查。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689" w:type="dxa"/>
            <w:vAlign w:val="center"/>
          </w:tcPr>
          <w:p>
            <w:pPr>
              <w:spacing w:line="360" w:lineRule="exact"/>
              <w:jc w:val="center"/>
              <w:textAlignment w:val="baseline"/>
              <w:rPr>
                <w:rFonts w:ascii="仿宋_GB2312" w:eastAsia="仿宋_GB2312"/>
                <w:b/>
                <w:sz w:val="24"/>
                <w:szCs w:val="24"/>
              </w:rPr>
            </w:pPr>
            <w:r>
              <w:rPr>
                <w:rFonts w:hint="eastAsia" w:ascii="仿宋_GB2312" w:eastAsia="仿宋_GB2312"/>
                <w:b/>
                <w:sz w:val="24"/>
                <w:szCs w:val="24"/>
              </w:rPr>
              <w:t>4月</w:t>
            </w:r>
            <w:r>
              <w:rPr>
                <w:rFonts w:hint="eastAsia" w:ascii="仿宋_GB2312" w:eastAsia="仿宋_GB2312"/>
                <w:b/>
                <w:sz w:val="24"/>
                <w:szCs w:val="24"/>
                <w:lang w:val="en-US" w:eastAsia="zh-CN"/>
              </w:rPr>
              <w:t>6</w:t>
            </w:r>
            <w:r>
              <w:rPr>
                <w:rFonts w:hint="eastAsia" w:ascii="仿宋_GB2312" w:eastAsia="仿宋_GB2312"/>
                <w:b/>
                <w:sz w:val="24"/>
                <w:szCs w:val="24"/>
              </w:rPr>
              <w:t>-20日</w:t>
            </w:r>
          </w:p>
        </w:tc>
        <w:tc>
          <w:tcPr>
            <w:tcW w:w="1798" w:type="dxa"/>
            <w:vAlign w:val="center"/>
          </w:tcPr>
          <w:p>
            <w:pPr>
              <w:spacing w:line="360" w:lineRule="exact"/>
              <w:textAlignment w:val="baseline"/>
              <w:rPr>
                <w:rFonts w:ascii="仿宋_GB2312" w:eastAsia="仿宋_GB2312"/>
                <w:b/>
                <w:sz w:val="24"/>
                <w:szCs w:val="24"/>
              </w:rPr>
            </w:pPr>
            <w:r>
              <w:rPr>
                <w:rFonts w:hint="eastAsia" w:ascii="仿宋_GB2312" w:eastAsia="仿宋_GB2312"/>
                <w:b/>
                <w:sz w:val="24"/>
                <w:szCs w:val="24"/>
              </w:rPr>
              <w:t>调剂考生</w:t>
            </w:r>
          </w:p>
          <w:p>
            <w:pPr>
              <w:spacing w:line="360" w:lineRule="exact"/>
              <w:textAlignment w:val="baseline"/>
              <w:rPr>
                <w:rFonts w:ascii="仿宋_GB2312" w:eastAsia="仿宋_GB2312"/>
                <w:b/>
                <w:sz w:val="24"/>
                <w:szCs w:val="24"/>
              </w:rPr>
            </w:pPr>
            <w:r>
              <w:rPr>
                <w:rFonts w:hint="eastAsia" w:ascii="仿宋_GB2312" w:eastAsia="仿宋_GB2312"/>
                <w:b/>
                <w:sz w:val="24"/>
                <w:szCs w:val="24"/>
              </w:rPr>
              <w:t>复试工作</w:t>
            </w:r>
          </w:p>
        </w:tc>
        <w:tc>
          <w:tcPr>
            <w:tcW w:w="5555" w:type="dxa"/>
            <w:vAlign w:val="center"/>
          </w:tcPr>
          <w:p>
            <w:pPr>
              <w:spacing w:line="360" w:lineRule="exact"/>
              <w:textAlignment w:val="baseline"/>
              <w:rPr>
                <w:rFonts w:ascii="仿宋_GB2312" w:eastAsia="仿宋_GB2312"/>
                <w:sz w:val="24"/>
                <w:szCs w:val="24"/>
              </w:rPr>
            </w:pPr>
            <w:r>
              <w:rPr>
                <w:rFonts w:hint="eastAsia" w:ascii="仿宋_GB2312" w:eastAsia="仿宋_GB2312"/>
                <w:sz w:val="24"/>
                <w:szCs w:val="24"/>
              </w:rPr>
              <w:t>按照学校研究生招生工作领导小组安排执行，时间、地点另行通知。</w:t>
            </w:r>
          </w:p>
        </w:tc>
      </w:tr>
    </w:tbl>
    <w:p>
      <w:pPr>
        <w:widowControl/>
        <w:spacing w:beforeLines="5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（五）复试形式和内容</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1.主要以网络视频面试的方式进行，每个考生的面试时间20-30分钟。</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2.复试内容：</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（1）思想政治素质考核：主要对考生思想政治表现、时事政策理解、工作学习态度、职业道德和遵纪守法等方面进行考核，评价方式为定性评价，分“合格”、“不合格”两个等级，不合格者不予录取。</w:t>
      </w:r>
    </w:p>
    <w:p>
      <w:pPr>
        <w:widowControl/>
        <w:spacing w:afterLines="5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（2）专业基础知识测试：开放性考试，以口头回答的方式进行；评价方式为定性评价，分“合格”、“不合格”两个等级，不合格者不予录取。参考书目如下：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376" w:type="dxa"/>
            <w:vAlign w:val="center"/>
          </w:tcPr>
          <w:p>
            <w:pPr>
              <w:spacing w:line="500" w:lineRule="exact"/>
              <w:jc w:val="center"/>
              <w:rPr>
                <w:rFonts w:ascii="仿宋_GB2312" w:eastAsia="仿宋_GB2312"/>
                <w:b/>
                <w:sz w:val="24"/>
                <w:szCs w:val="24"/>
              </w:rPr>
            </w:pPr>
            <w:r>
              <w:rPr>
                <w:rFonts w:hint="eastAsia" w:ascii="仿宋_GB2312" w:eastAsia="仿宋_GB2312"/>
                <w:b/>
                <w:sz w:val="24"/>
                <w:szCs w:val="24"/>
              </w:rPr>
              <w:t>专业名称及代码</w:t>
            </w:r>
          </w:p>
        </w:tc>
        <w:tc>
          <w:tcPr>
            <w:tcW w:w="6146" w:type="dxa"/>
            <w:vAlign w:val="center"/>
          </w:tcPr>
          <w:p>
            <w:pPr>
              <w:spacing w:line="500" w:lineRule="exact"/>
              <w:jc w:val="center"/>
              <w:rPr>
                <w:rFonts w:ascii="仿宋_GB2312" w:eastAsia="仿宋_GB2312"/>
                <w:b/>
                <w:sz w:val="24"/>
                <w:szCs w:val="24"/>
              </w:rPr>
            </w:pPr>
            <w:r>
              <w:rPr>
                <w:rFonts w:hint="eastAsia" w:ascii="仿宋_GB2312" w:eastAsia="仿宋_GB2312"/>
                <w:b/>
                <w:sz w:val="24"/>
                <w:szCs w:val="24"/>
              </w:rPr>
              <w:t>参考书目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2376" w:type="dxa"/>
            <w:vAlign w:val="center"/>
          </w:tcPr>
          <w:p>
            <w:pPr>
              <w:spacing w:line="500" w:lineRule="exact"/>
              <w:jc w:val="center"/>
              <w:rPr>
                <w:rFonts w:ascii="仿宋_GB2312" w:eastAsia="仿宋_GB2312"/>
                <w:sz w:val="24"/>
                <w:szCs w:val="24"/>
              </w:rPr>
            </w:pPr>
            <w:r>
              <w:rPr>
                <w:rFonts w:hint="eastAsia" w:ascii="仿宋_GB2312" w:eastAsia="仿宋_GB2312"/>
                <w:sz w:val="24"/>
                <w:szCs w:val="24"/>
              </w:rPr>
              <w:t>外国语言文学</w:t>
            </w:r>
          </w:p>
          <w:p>
            <w:pPr>
              <w:spacing w:line="500" w:lineRule="exact"/>
              <w:jc w:val="center"/>
              <w:rPr>
                <w:rFonts w:ascii="仿宋_GB2312" w:eastAsia="仿宋_GB2312"/>
                <w:sz w:val="24"/>
                <w:szCs w:val="24"/>
              </w:rPr>
            </w:pPr>
            <w:r>
              <w:rPr>
                <w:rFonts w:hint="eastAsia" w:ascii="仿宋_GB2312" w:eastAsia="仿宋_GB2312"/>
                <w:sz w:val="24"/>
                <w:szCs w:val="24"/>
              </w:rPr>
              <w:t>（050200）</w:t>
            </w:r>
          </w:p>
        </w:tc>
        <w:tc>
          <w:tcPr>
            <w:tcW w:w="6146" w:type="dxa"/>
            <w:vAlign w:val="center"/>
          </w:tcPr>
          <w:p>
            <w:pPr>
              <w:spacing w:line="300" w:lineRule="atLeast"/>
              <w:rPr>
                <w:rFonts w:ascii="仿宋_GB2312" w:eastAsia="仿宋_GB2312"/>
                <w:sz w:val="24"/>
                <w:szCs w:val="24"/>
              </w:rPr>
            </w:pPr>
            <w:r>
              <w:rPr>
                <w:rFonts w:hint="eastAsia" w:ascii="仿宋_GB2312" w:eastAsia="仿宋_GB2312"/>
                <w:sz w:val="24"/>
                <w:szCs w:val="24"/>
              </w:rPr>
              <w:t>1.《新编简明英语语言学教程》，戴炜栋主编，上海外语教育出版社，2014年出版.</w:t>
            </w:r>
          </w:p>
          <w:p>
            <w:pPr>
              <w:spacing w:line="300" w:lineRule="atLeast"/>
              <w:rPr>
                <w:rFonts w:ascii="仿宋_GB2312" w:eastAsia="仿宋_GB2312"/>
                <w:sz w:val="24"/>
                <w:szCs w:val="24"/>
              </w:rPr>
            </w:pPr>
            <w:r>
              <w:rPr>
                <w:rFonts w:hint="eastAsia" w:ascii="仿宋_GB2312" w:eastAsia="仿宋_GB2312"/>
                <w:sz w:val="24"/>
                <w:szCs w:val="24"/>
              </w:rPr>
              <w:t>2.《英汉比较与翻译》秦洪武，王克非著，外语教学与研究出版社，2010年出版.</w:t>
            </w:r>
          </w:p>
          <w:p>
            <w:pPr>
              <w:spacing w:line="300" w:lineRule="atLeast"/>
              <w:rPr>
                <w:rFonts w:ascii="仿宋_GB2312" w:eastAsia="仿宋_GB2312"/>
                <w:sz w:val="24"/>
                <w:szCs w:val="24"/>
              </w:rPr>
            </w:pPr>
            <w:r>
              <w:rPr>
                <w:rFonts w:hint="eastAsia" w:ascii="仿宋_GB2312" w:eastAsia="仿宋_GB2312"/>
                <w:sz w:val="24"/>
                <w:szCs w:val="24"/>
              </w:rPr>
              <w:t>3.《英汉-汉英翻译教程》，彭长江主编，湖南师范大学出版社，2012年出版.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2376" w:type="dxa"/>
            <w:vAlign w:val="center"/>
          </w:tcPr>
          <w:p>
            <w:pPr>
              <w:spacing w:line="500" w:lineRule="exact"/>
              <w:jc w:val="center"/>
              <w:rPr>
                <w:rFonts w:ascii="仿宋_GB2312" w:eastAsia="仿宋_GB2312"/>
                <w:sz w:val="24"/>
                <w:szCs w:val="24"/>
              </w:rPr>
            </w:pPr>
            <w:r>
              <w:rPr>
                <w:rFonts w:hint="eastAsia" w:ascii="仿宋_GB2312" w:eastAsia="仿宋_GB2312"/>
                <w:sz w:val="24"/>
                <w:szCs w:val="24"/>
              </w:rPr>
              <w:t>翻译硕士</w:t>
            </w:r>
          </w:p>
          <w:p>
            <w:pPr>
              <w:spacing w:line="500" w:lineRule="exact"/>
              <w:jc w:val="center"/>
              <w:rPr>
                <w:rFonts w:ascii="仿宋_GB2312" w:eastAsia="仿宋_GB2312"/>
                <w:sz w:val="24"/>
                <w:szCs w:val="24"/>
              </w:rPr>
            </w:pPr>
            <w:r>
              <w:rPr>
                <w:rFonts w:hint="eastAsia" w:ascii="仿宋_GB2312" w:eastAsia="仿宋_GB2312"/>
                <w:sz w:val="24"/>
                <w:szCs w:val="24"/>
              </w:rPr>
              <w:t>（055100）</w:t>
            </w:r>
          </w:p>
        </w:tc>
        <w:tc>
          <w:tcPr>
            <w:tcW w:w="6146" w:type="dxa"/>
            <w:vAlign w:val="center"/>
          </w:tcPr>
          <w:p>
            <w:pPr>
              <w:spacing w:line="300" w:lineRule="atLeast"/>
              <w:rPr>
                <w:rFonts w:ascii="仿宋_GB2312" w:eastAsia="仿宋_GB2312"/>
                <w:sz w:val="24"/>
                <w:szCs w:val="24"/>
              </w:rPr>
            </w:pPr>
            <w:r>
              <w:rPr>
                <w:rFonts w:hint="eastAsia" w:ascii="仿宋_GB2312" w:eastAsia="仿宋_GB2312"/>
                <w:sz w:val="24"/>
                <w:szCs w:val="24"/>
              </w:rPr>
              <w:t>1.《英语笔译实务》(三级)最新修订版，外文出版社.</w:t>
            </w:r>
          </w:p>
          <w:p>
            <w:pPr>
              <w:spacing w:line="300" w:lineRule="atLeast"/>
              <w:rPr>
                <w:rFonts w:ascii="仿宋_GB2312" w:eastAsia="仿宋_GB2312"/>
                <w:sz w:val="24"/>
                <w:szCs w:val="24"/>
              </w:rPr>
            </w:pPr>
            <w:r>
              <w:rPr>
                <w:rFonts w:hint="eastAsia" w:ascii="仿宋_GB2312" w:eastAsia="仿宋_GB2312"/>
                <w:sz w:val="24"/>
                <w:szCs w:val="24"/>
              </w:rPr>
              <w:t>2.《汉英英汉美文翻译与鉴赏(中英对照)》，刘士聪主编，译林出版社，2010年版.</w:t>
            </w:r>
          </w:p>
          <w:p>
            <w:pPr>
              <w:spacing w:line="300" w:lineRule="atLeast"/>
              <w:rPr>
                <w:rFonts w:ascii="仿宋_GB2312" w:eastAsia="仿宋_GB2312"/>
                <w:sz w:val="24"/>
                <w:szCs w:val="24"/>
              </w:rPr>
            </w:pPr>
            <w:r>
              <w:rPr>
                <w:rFonts w:hint="eastAsia" w:ascii="仿宋_GB2312" w:eastAsia="仿宋_GB2312"/>
                <w:sz w:val="24"/>
                <w:szCs w:val="24"/>
              </w:rPr>
              <w:t>3.《翻译学核心术语》，王东风，外语教学与研究出版社，2016年出版.</w:t>
            </w:r>
          </w:p>
        </w:tc>
      </w:tr>
    </w:tbl>
    <w:p>
      <w:pPr>
        <w:widowControl/>
        <w:spacing w:beforeLines="5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（3）英语听力及口语测试：满分30分，听力、口语各15分，以口头作答的方式进行，考官根据互动对话情况进行评价后分别确定成绩。</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（4）综合面试：满分70分，以口头问答的方式进行，一般不少于20分钟，主要对考生的综合素质、专业知识、科研素质和潜力进行考察。</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（5）同等学力考生 (专科毕业生、国家承认学历的本科结业生、成人高校应届本科毕业生)必须加试所报考专业的两门主干课程，考试的形式由招生学科自定，加试科目不合格者不予录取。</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（六）综合成绩计算</w:t>
      </w:r>
    </w:p>
    <w:p>
      <w:pPr>
        <w:widowControl/>
        <w:spacing w:line="600" w:lineRule="exact"/>
        <w:ind w:firstLine="626" w:firstLineChars="200"/>
        <w:rPr>
          <w:rFonts w:ascii="仿宋_GB2312" w:hAnsi="宋体" w:eastAsia="仿宋_GB2312"/>
          <w:w w:val="98"/>
          <w:sz w:val="32"/>
          <w:szCs w:val="32"/>
        </w:rPr>
      </w:pPr>
      <w:r>
        <w:rPr>
          <w:rFonts w:hint="eastAsia" w:ascii="仿宋_GB2312" w:hAnsi="宋体" w:eastAsia="仿宋_GB2312"/>
          <w:w w:val="98"/>
          <w:sz w:val="32"/>
          <w:szCs w:val="32"/>
        </w:rPr>
        <w:t>综合成绩=初试成绩(折合成百分制)*70%+复试成绩*30%。</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其中，复试成绩由英语听力测试成绩(满分15分)、英语口语测试成绩(满分15分)、综合面试成绩(满分70分) 三部分组成，加试科目成绩不计入复试成绩。</w:t>
      </w:r>
    </w:p>
    <w:p>
      <w:pPr>
        <w:widowControl/>
        <w:spacing w:line="600" w:lineRule="exact"/>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rPr>
        <w:t>（七）录取原则</w:t>
      </w:r>
      <w:r>
        <w:rPr>
          <w:rFonts w:hint="eastAsia" w:ascii="仿宋_GB2312" w:hAnsi="宋体" w:eastAsia="仿宋_GB2312"/>
          <w:sz w:val="32"/>
          <w:szCs w:val="32"/>
          <w:lang w:val="en-US" w:eastAsia="zh-CN"/>
        </w:rPr>
        <w:t xml:space="preserve"> </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在学校研究生招生工作领导小组的统一领导下，按照教育部有关招生录取政策规定及湖南省教育考试院的有关要求，根据学校下达的招生计划、复试录取办法以及考生的初试和复试成绩、思想政治表现和身体健康状况等按综合成绩由高到低，择优确定拟录取名单。</w:t>
      </w:r>
    </w:p>
    <w:p>
      <w:pPr>
        <w:widowControl/>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2.有以下情形之一的考生不予录取：</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（1）专业基础知识测试不合格者；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（2）思想政治素质或品德考核不合格者；</w:t>
      </w:r>
    </w:p>
    <w:p>
      <w:pPr>
        <w:widowControl/>
        <w:spacing w:line="600" w:lineRule="exact"/>
        <w:ind w:firstLine="608" w:firstLineChars="200"/>
        <w:rPr>
          <w:rFonts w:ascii="仿宋_GB2312" w:hAnsi="宋体" w:eastAsia="仿宋_GB2312"/>
          <w:w w:val="95"/>
          <w:sz w:val="32"/>
          <w:szCs w:val="32"/>
        </w:rPr>
      </w:pPr>
      <w:r>
        <w:rPr>
          <w:rFonts w:hint="eastAsia" w:ascii="仿宋_GB2312" w:hAnsi="宋体" w:eastAsia="仿宋_GB2312"/>
          <w:w w:val="95"/>
          <w:sz w:val="32"/>
          <w:szCs w:val="32"/>
        </w:rPr>
        <w:t>（3）同等学力考生加试成绩有一门不合格者(60分以下)；</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（4）复试成绩不合格(60分以下)者；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（5）人事档案审查不合格者；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（6）报考资格不符合规定者；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（7）未通过或未完成学历(学籍)认证者；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（8）体检不合格者。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3.我校将通过中国研究生招生信息网对所有拟录取考生(含一志愿)发送拟录取通知，所有考生必须在通知发送后的48小时内接收该通知，否则视为自动放弃录取资格。</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4.被录取的新生，经考生本人申请，学院和学校同意后，可以在202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年6月1日前申请保留入学资格1-2年再入学。</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（八）录取类别</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1.录取时应确定学习方式、就业方式。本院硕士研究生学习方式为全日制，就业方式为非定向就业。学习方式及就业方式一经确定，不得更改。</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考生凭《调档函》，须于6月1日前将人事档案寄达我院(有工作单位的报考者，须与原单位解除劳动、聘用合同关系)，其中往届生应按照要求在新生入学报到时上交工资关系证明材料。应届本科毕业生如不能按期将人事档案调寄我校的，须由考生所在学校或学院（系）党委出具书面情况说明，明确档案不能及时调取的理由和档案拟寄出日期(寄达时间不得超过录取当年8月31日)，否则不予录取。</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考生不能按期寄达人事档案或签定</w:t>
      </w:r>
      <w:r>
        <w:rPr>
          <w:rFonts w:hint="eastAsia" w:ascii="仿宋_GB2312" w:hAnsi="宋体" w:eastAsia="仿宋_GB2312"/>
          <w:sz w:val="32"/>
          <w:szCs w:val="32"/>
          <w:lang w:val="en-US" w:eastAsia="zh-CN"/>
        </w:rPr>
        <w:t>《湖南农业大学硕士研究生定向培养协议书》</w:t>
      </w:r>
      <w:r>
        <w:rPr>
          <w:rFonts w:hint="eastAsia" w:ascii="仿宋_GB2312" w:hAnsi="宋体" w:eastAsia="仿宋_GB2312"/>
          <w:sz w:val="32"/>
          <w:szCs w:val="32"/>
        </w:rPr>
        <w:t>而影响录取，责任由考生自负。</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（九）复试纪律和要求</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1.实行责任制和责任追究制。学院研究生招生领导小组和复试小组对本院、本学位点复试过程的公平、公正和复试录取结果全面负责。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2.实行监督和巡视制度。复试全程录音录像。学校复试工作督查小组现场巡视，对复试工作进行全面、有效监督。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3.实行信息公开制度。实行复试方案公开、复试名单公开、复试成绩公布以及拟录取名单公示。及时公布复试基本分数线、复试工作方案、复试录取结果等信息。</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4.实行复议制度。保证投诉、申诉和监督渠道的畅通，并在规定时限受理投诉和申诉。对投诉和申诉问题经调查属实的，学校研究生招生工作领导小组将责成学院复试工作领导小组或复试小组进行复议。</w:t>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rPr>
        <w:t>六、调剂</w:t>
      </w:r>
    </w:p>
    <w:p>
      <w:pPr>
        <w:widowControl/>
        <w:spacing w:afterLines="5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（一）接收调剂的专业领域及拟调剂人数</w:t>
      </w:r>
    </w:p>
    <w:tbl>
      <w:tblPr>
        <w:tblStyle w:val="8"/>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212"/>
        <w:gridCol w:w="1671"/>
        <w:gridCol w:w="1508"/>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67" w:type="dxa"/>
            <w:vAlign w:val="center"/>
          </w:tcPr>
          <w:p>
            <w:pPr>
              <w:widowControl/>
              <w:spacing w:line="500" w:lineRule="exact"/>
              <w:jc w:val="center"/>
              <w:rPr>
                <w:rFonts w:eastAsia="仿宋_GB2312" w:cs="Arial"/>
                <w:b/>
                <w:bCs/>
                <w:kern w:val="0"/>
                <w:sz w:val="24"/>
                <w:szCs w:val="24"/>
              </w:rPr>
            </w:pPr>
            <w:r>
              <w:rPr>
                <w:rFonts w:hint="eastAsia" w:eastAsia="仿宋_GB2312" w:cs="Arial"/>
                <w:b/>
                <w:bCs/>
                <w:kern w:val="0"/>
                <w:sz w:val="24"/>
                <w:szCs w:val="24"/>
              </w:rPr>
              <w:t>专业领域名称</w:t>
            </w:r>
          </w:p>
        </w:tc>
        <w:tc>
          <w:tcPr>
            <w:tcW w:w="1212" w:type="dxa"/>
            <w:vAlign w:val="center"/>
          </w:tcPr>
          <w:p>
            <w:pPr>
              <w:widowControl/>
              <w:spacing w:line="500" w:lineRule="exact"/>
              <w:jc w:val="center"/>
              <w:rPr>
                <w:rFonts w:eastAsia="仿宋_GB2312" w:cs="Arial"/>
                <w:b/>
                <w:bCs/>
                <w:kern w:val="0"/>
                <w:sz w:val="24"/>
                <w:szCs w:val="24"/>
              </w:rPr>
            </w:pPr>
            <w:r>
              <w:rPr>
                <w:rFonts w:hint="eastAsia" w:eastAsia="仿宋_GB2312" w:cs="Arial"/>
                <w:b/>
                <w:bCs/>
                <w:kern w:val="0"/>
                <w:sz w:val="24"/>
                <w:szCs w:val="24"/>
              </w:rPr>
              <w:t>学科代码</w:t>
            </w:r>
          </w:p>
        </w:tc>
        <w:tc>
          <w:tcPr>
            <w:tcW w:w="1671" w:type="dxa"/>
            <w:vAlign w:val="center"/>
          </w:tcPr>
          <w:p>
            <w:pPr>
              <w:widowControl/>
              <w:spacing w:line="500" w:lineRule="exact"/>
              <w:jc w:val="center"/>
              <w:rPr>
                <w:rFonts w:eastAsia="仿宋_GB2312" w:cs="Arial"/>
                <w:b/>
                <w:bCs/>
                <w:kern w:val="0"/>
                <w:sz w:val="24"/>
                <w:szCs w:val="24"/>
              </w:rPr>
            </w:pPr>
            <w:r>
              <w:rPr>
                <w:rFonts w:hint="eastAsia" w:eastAsia="仿宋_GB2312" w:cs="Arial"/>
                <w:b/>
                <w:bCs/>
                <w:kern w:val="0"/>
                <w:sz w:val="24"/>
                <w:szCs w:val="24"/>
              </w:rPr>
              <w:t>研究方向</w:t>
            </w:r>
          </w:p>
        </w:tc>
        <w:tc>
          <w:tcPr>
            <w:tcW w:w="1508" w:type="dxa"/>
            <w:vAlign w:val="center"/>
          </w:tcPr>
          <w:p>
            <w:pPr>
              <w:widowControl/>
              <w:spacing w:line="500" w:lineRule="exact"/>
              <w:jc w:val="center"/>
              <w:rPr>
                <w:rFonts w:eastAsia="仿宋_GB2312" w:cs="Arial"/>
                <w:b/>
                <w:bCs/>
                <w:kern w:val="0"/>
                <w:sz w:val="24"/>
                <w:szCs w:val="24"/>
              </w:rPr>
            </w:pPr>
            <w:r>
              <w:rPr>
                <w:rFonts w:hint="eastAsia" w:eastAsia="仿宋_GB2312" w:cs="Arial"/>
                <w:b/>
                <w:bCs/>
                <w:kern w:val="0"/>
                <w:sz w:val="24"/>
                <w:szCs w:val="24"/>
              </w:rPr>
              <w:t>学习方式</w:t>
            </w:r>
          </w:p>
        </w:tc>
        <w:tc>
          <w:tcPr>
            <w:tcW w:w="1853" w:type="dxa"/>
            <w:vAlign w:val="center"/>
          </w:tcPr>
          <w:p>
            <w:pPr>
              <w:widowControl/>
              <w:spacing w:line="500" w:lineRule="exact"/>
              <w:jc w:val="center"/>
              <w:rPr>
                <w:rFonts w:eastAsia="仿宋_GB2312" w:cs="Arial"/>
                <w:b/>
                <w:bCs/>
                <w:kern w:val="0"/>
                <w:sz w:val="24"/>
                <w:szCs w:val="24"/>
              </w:rPr>
            </w:pPr>
            <w:r>
              <w:rPr>
                <w:rFonts w:hint="eastAsia" w:eastAsia="仿宋_GB2312" w:cs="Arial"/>
                <w:b/>
                <w:bCs/>
                <w:kern w:val="0"/>
                <w:sz w:val="24"/>
                <w:szCs w:val="24"/>
              </w:rPr>
              <w:t>拟调剂人数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67" w:type="dxa"/>
            <w:vAlign w:val="center"/>
          </w:tcPr>
          <w:p>
            <w:pPr>
              <w:widowControl/>
              <w:spacing w:line="500" w:lineRule="exact"/>
              <w:jc w:val="center"/>
              <w:rPr>
                <w:rFonts w:eastAsia="仿宋_GB2312" w:cs="Arial"/>
                <w:kern w:val="0"/>
                <w:sz w:val="24"/>
                <w:szCs w:val="24"/>
              </w:rPr>
            </w:pPr>
            <w:r>
              <w:rPr>
                <w:rFonts w:hint="eastAsia" w:eastAsia="仿宋_GB2312" w:cs="Arial"/>
                <w:kern w:val="0"/>
                <w:sz w:val="24"/>
                <w:szCs w:val="24"/>
              </w:rPr>
              <w:t>翻译硕士</w:t>
            </w:r>
          </w:p>
        </w:tc>
        <w:tc>
          <w:tcPr>
            <w:tcW w:w="1212" w:type="dxa"/>
            <w:vAlign w:val="center"/>
          </w:tcPr>
          <w:p>
            <w:pPr>
              <w:widowControl/>
              <w:spacing w:line="500" w:lineRule="exact"/>
              <w:jc w:val="center"/>
              <w:rPr>
                <w:rFonts w:eastAsia="仿宋_GB2312" w:cs="Arial"/>
                <w:kern w:val="0"/>
                <w:sz w:val="24"/>
                <w:szCs w:val="24"/>
              </w:rPr>
            </w:pPr>
            <w:r>
              <w:rPr>
                <w:rFonts w:eastAsia="仿宋_GB2312" w:cs="Arial"/>
                <w:kern w:val="0"/>
                <w:sz w:val="24"/>
                <w:szCs w:val="24"/>
              </w:rPr>
              <w:t>055100</w:t>
            </w:r>
          </w:p>
        </w:tc>
        <w:tc>
          <w:tcPr>
            <w:tcW w:w="1671" w:type="dxa"/>
            <w:vAlign w:val="center"/>
          </w:tcPr>
          <w:p>
            <w:pPr>
              <w:spacing w:line="500" w:lineRule="exact"/>
              <w:jc w:val="center"/>
              <w:outlineLvl w:val="0"/>
              <w:rPr>
                <w:rFonts w:eastAsia="仿宋_GB2312" w:cs="Arial"/>
                <w:kern w:val="0"/>
                <w:sz w:val="24"/>
                <w:szCs w:val="24"/>
              </w:rPr>
            </w:pPr>
            <w:r>
              <w:rPr>
                <w:rFonts w:hint="eastAsia" w:eastAsia="仿宋_GB2312" w:cs="Arial"/>
                <w:kern w:val="0"/>
                <w:sz w:val="24"/>
                <w:szCs w:val="24"/>
              </w:rPr>
              <w:t>英语笔译</w:t>
            </w:r>
          </w:p>
        </w:tc>
        <w:tc>
          <w:tcPr>
            <w:tcW w:w="1508" w:type="dxa"/>
            <w:vAlign w:val="center"/>
          </w:tcPr>
          <w:p>
            <w:pPr>
              <w:widowControl/>
              <w:spacing w:line="500" w:lineRule="exact"/>
              <w:jc w:val="center"/>
              <w:rPr>
                <w:rFonts w:eastAsia="仿宋_GB2312" w:cs="Arial"/>
                <w:kern w:val="0"/>
                <w:sz w:val="24"/>
                <w:szCs w:val="24"/>
              </w:rPr>
            </w:pPr>
            <w:r>
              <w:rPr>
                <w:rFonts w:hint="eastAsia" w:eastAsia="仿宋_GB2312" w:cs="Arial"/>
                <w:kern w:val="0"/>
                <w:sz w:val="24"/>
                <w:szCs w:val="24"/>
              </w:rPr>
              <w:t>全日制</w:t>
            </w:r>
          </w:p>
        </w:tc>
        <w:tc>
          <w:tcPr>
            <w:tcW w:w="1853" w:type="dxa"/>
            <w:vAlign w:val="center"/>
          </w:tcPr>
          <w:p>
            <w:pPr>
              <w:spacing w:line="500" w:lineRule="exact"/>
              <w:jc w:val="center"/>
              <w:outlineLvl w:val="0"/>
              <w:rPr>
                <w:rFonts w:eastAsia="仿宋_GB2312" w:cs="Arial"/>
                <w:kern w:val="0"/>
                <w:sz w:val="24"/>
                <w:szCs w:val="24"/>
              </w:rPr>
            </w:pPr>
            <w:r>
              <w:rPr>
                <w:rFonts w:hint="eastAsia" w:eastAsia="仿宋_GB2312" w:cs="Arial"/>
                <w:kern w:val="0"/>
                <w:sz w:val="24"/>
                <w:szCs w:val="24"/>
                <w:lang w:val="en-US" w:eastAsia="zh-CN"/>
              </w:rPr>
              <w:t>2</w:t>
            </w:r>
            <w:r>
              <w:rPr>
                <w:rFonts w:hint="eastAsia" w:eastAsia="仿宋_GB2312" w:cs="Arial"/>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7" w:type="dxa"/>
            <w:vAlign w:val="center"/>
          </w:tcPr>
          <w:p>
            <w:pPr>
              <w:widowControl/>
              <w:spacing w:line="500" w:lineRule="exact"/>
              <w:jc w:val="center"/>
              <w:rPr>
                <w:rFonts w:hint="eastAsia" w:eastAsia="仿宋_GB2312" w:cs="Arial"/>
                <w:kern w:val="0"/>
                <w:sz w:val="24"/>
                <w:szCs w:val="24"/>
              </w:rPr>
            </w:pPr>
            <w:r>
              <w:rPr>
                <w:rFonts w:hint="eastAsia" w:eastAsia="仿宋_GB2312" w:cs="Arial"/>
                <w:kern w:val="0"/>
                <w:sz w:val="24"/>
                <w:szCs w:val="24"/>
              </w:rPr>
              <w:t>外国语言文学</w:t>
            </w:r>
          </w:p>
        </w:tc>
        <w:tc>
          <w:tcPr>
            <w:tcW w:w="1212" w:type="dxa"/>
            <w:vAlign w:val="center"/>
          </w:tcPr>
          <w:p>
            <w:pPr>
              <w:widowControl/>
              <w:spacing w:line="500" w:lineRule="exact"/>
              <w:jc w:val="center"/>
              <w:rPr>
                <w:rFonts w:eastAsia="仿宋_GB2312" w:cs="Arial"/>
                <w:kern w:val="0"/>
                <w:sz w:val="24"/>
                <w:szCs w:val="24"/>
              </w:rPr>
            </w:pPr>
            <w:r>
              <w:rPr>
                <w:rFonts w:hint="eastAsia" w:eastAsia="仿宋_GB2312" w:cs="Arial"/>
                <w:kern w:val="0"/>
                <w:sz w:val="24"/>
                <w:szCs w:val="24"/>
              </w:rPr>
              <w:t>050200</w:t>
            </w:r>
          </w:p>
        </w:tc>
        <w:tc>
          <w:tcPr>
            <w:tcW w:w="1671" w:type="dxa"/>
            <w:vAlign w:val="center"/>
          </w:tcPr>
          <w:p>
            <w:pPr>
              <w:spacing w:line="500" w:lineRule="exact"/>
              <w:jc w:val="center"/>
              <w:outlineLvl w:val="0"/>
              <w:rPr>
                <w:rFonts w:hint="eastAsia" w:eastAsia="仿宋_GB2312" w:cs="Arial"/>
                <w:kern w:val="0"/>
                <w:sz w:val="24"/>
                <w:szCs w:val="24"/>
              </w:rPr>
            </w:pPr>
            <w:r>
              <w:rPr>
                <w:rFonts w:hint="eastAsia" w:eastAsia="仿宋_GB2312" w:cs="Arial"/>
                <w:kern w:val="0"/>
                <w:sz w:val="24"/>
                <w:szCs w:val="24"/>
              </w:rPr>
              <w:t>外国语言学及应用语言学</w:t>
            </w:r>
          </w:p>
        </w:tc>
        <w:tc>
          <w:tcPr>
            <w:tcW w:w="1508" w:type="dxa"/>
            <w:vAlign w:val="center"/>
          </w:tcPr>
          <w:p>
            <w:pPr>
              <w:widowControl/>
              <w:spacing w:line="500" w:lineRule="exact"/>
              <w:jc w:val="center"/>
              <w:rPr>
                <w:rFonts w:hint="eastAsia" w:eastAsia="仿宋_GB2312" w:cs="Arial"/>
                <w:kern w:val="0"/>
                <w:sz w:val="24"/>
                <w:szCs w:val="24"/>
              </w:rPr>
            </w:pPr>
            <w:r>
              <w:rPr>
                <w:rFonts w:hint="eastAsia" w:eastAsia="仿宋_GB2312" w:cs="Arial"/>
                <w:kern w:val="0"/>
                <w:sz w:val="24"/>
                <w:szCs w:val="24"/>
              </w:rPr>
              <w:t>全日制</w:t>
            </w:r>
          </w:p>
        </w:tc>
        <w:tc>
          <w:tcPr>
            <w:tcW w:w="1853" w:type="dxa"/>
            <w:vAlign w:val="center"/>
          </w:tcPr>
          <w:p>
            <w:pPr>
              <w:spacing w:line="500" w:lineRule="exact"/>
              <w:jc w:val="center"/>
              <w:outlineLvl w:val="0"/>
              <w:rPr>
                <w:rFonts w:hint="default" w:eastAsia="仿宋_GB2312" w:cs="Arial"/>
                <w:kern w:val="0"/>
                <w:sz w:val="24"/>
                <w:szCs w:val="24"/>
                <w:lang w:val="en-US" w:eastAsia="zh-CN"/>
              </w:rPr>
            </w:pPr>
            <w:r>
              <w:rPr>
                <w:rFonts w:hint="eastAsia" w:eastAsia="仿宋_GB2312" w:cs="Arial"/>
                <w:kern w:val="0"/>
                <w:sz w:val="24"/>
                <w:szCs w:val="24"/>
                <w:lang w:val="en-US" w:eastAsia="zh-CN"/>
              </w:rPr>
              <w:t>1</w:t>
            </w:r>
          </w:p>
        </w:tc>
      </w:tr>
    </w:tbl>
    <w:p>
      <w:pPr>
        <w:widowControl/>
        <w:spacing w:beforeLines="50"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学校研招办将根据学校复试录取工作进程，在调剂系统公布调剂要求以及具体专业缺额。</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（二）调剂申请条件</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1.符合调入专业的报考条件(详见我校招生简章)。</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2.考生初试成绩须符合202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年全国硕士研究生招生考试A类地区“文学类（学术学位类）”和“翻译硕士（专业学位类）”考生进入复试的初试成绩基本要求。</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3.调入专业与第一志愿报考专业相同或相近，应在同一学科门类范围内。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4.初试科目与调入专业初试科目相同或相近，其中统考科目原则上应相同，不跨学科门类及一级学科调剂。</w:t>
      </w:r>
    </w:p>
    <w:p>
      <w:pPr>
        <w:widowControl/>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5.只接受全日制本科学历且取得学士学位的考生报考（含全日制本科应届毕业生）。</w:t>
      </w:r>
    </w:p>
    <w:p>
      <w:pPr>
        <w:widowControl/>
        <w:spacing w:line="600" w:lineRule="exact"/>
        <w:ind w:firstLine="626" w:firstLineChars="200"/>
        <w:rPr>
          <w:rFonts w:hint="eastAsia" w:ascii="仿宋_GB2312" w:hAnsi="宋体" w:eastAsia="仿宋_GB2312"/>
          <w:w w:val="98"/>
          <w:sz w:val="32"/>
          <w:szCs w:val="32"/>
        </w:rPr>
      </w:pPr>
      <w:r>
        <w:rPr>
          <w:rFonts w:hint="eastAsia" w:ascii="仿宋_GB2312" w:hAnsi="宋体" w:eastAsia="仿宋_GB2312"/>
          <w:w w:val="98"/>
          <w:sz w:val="32"/>
          <w:szCs w:val="32"/>
          <w:lang w:val="en-US" w:eastAsia="zh-CN"/>
        </w:rPr>
        <w:t>6.符合报名条件的学硕可以调入专硕，专硕不能调入学硕。</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lang w:val="en-US" w:eastAsia="zh-CN"/>
        </w:rPr>
        <w:t>7</w:t>
      </w:r>
      <w:r>
        <w:rPr>
          <w:rFonts w:hint="eastAsia" w:ascii="仿宋_GB2312" w:hAnsi="宋体" w:eastAsia="仿宋_GB2312"/>
          <w:sz w:val="32"/>
          <w:szCs w:val="32"/>
        </w:rPr>
        <w:t>.申请调剂“翻译硕士（英语笔译）”考生在符合教育部发布的《202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年全国硕士研究生招生考试考生进入复试的初试成绩基本要求》的同等情况下，具备下列条件之一者，可优先考虑。</w:t>
      </w:r>
    </w:p>
    <w:p>
      <w:pPr>
        <w:widowControl/>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（1）获得</w:t>
      </w:r>
      <w:bookmarkStart w:id="0" w:name="OLE_LINK1"/>
      <w:r>
        <w:rPr>
          <w:rFonts w:hint="eastAsia" w:ascii="仿宋_GB2312" w:hAnsi="宋体" w:eastAsia="仿宋_GB2312"/>
          <w:sz w:val="32"/>
          <w:szCs w:val="32"/>
        </w:rPr>
        <w:t>全国翻译专业资格（水平）考试</w:t>
      </w:r>
      <w:r>
        <w:rPr>
          <w:rFonts w:hint="eastAsia" w:ascii="仿宋_GB2312" w:hAnsi="宋体" w:eastAsia="仿宋_GB2312"/>
          <w:sz w:val="32"/>
          <w:szCs w:val="32"/>
          <w:lang w:val="en-US" w:eastAsia="zh-CN"/>
        </w:rPr>
        <w:t>口、笔译</w:t>
      </w:r>
      <w:bookmarkEnd w:id="0"/>
      <w:r>
        <w:rPr>
          <w:rFonts w:hint="eastAsia" w:ascii="仿宋_GB2312" w:hAnsi="宋体" w:eastAsia="仿宋_GB2312"/>
          <w:sz w:val="32"/>
          <w:szCs w:val="32"/>
        </w:rPr>
        <w:t>证书等</w:t>
      </w:r>
      <w:r>
        <w:rPr>
          <w:rFonts w:hint="eastAsia" w:ascii="仿宋_GB2312" w:hAnsi="宋体" w:eastAsia="仿宋_GB2312"/>
          <w:sz w:val="32"/>
          <w:szCs w:val="32"/>
          <w:lang w:val="en-US" w:eastAsia="zh-CN"/>
        </w:rPr>
        <w:t>权威</w:t>
      </w:r>
      <w:r>
        <w:rPr>
          <w:rFonts w:hint="eastAsia" w:ascii="仿宋_GB2312" w:hAnsi="宋体" w:eastAsia="仿宋_GB2312"/>
          <w:sz w:val="32"/>
          <w:szCs w:val="32"/>
        </w:rPr>
        <w:t>翻译证书；</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（2）获得省级以上</w:t>
      </w:r>
      <w:r>
        <w:rPr>
          <w:rFonts w:hint="eastAsia" w:ascii="仿宋_GB2312" w:hAnsi="宋体" w:eastAsia="仿宋_GB2312"/>
          <w:sz w:val="32"/>
          <w:szCs w:val="32"/>
          <w:lang w:val="en-US" w:eastAsia="zh-CN"/>
        </w:rPr>
        <w:t>相关</w:t>
      </w:r>
      <w:r>
        <w:rPr>
          <w:rFonts w:hint="eastAsia" w:ascii="仿宋_GB2312" w:hAnsi="宋体" w:eastAsia="仿宋_GB2312"/>
          <w:sz w:val="32"/>
          <w:szCs w:val="32"/>
        </w:rPr>
        <w:t>竞赛奖项；</w:t>
      </w:r>
    </w:p>
    <w:p>
      <w:pPr>
        <w:widowControl/>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（3）专四成绩</w:t>
      </w:r>
      <w:r>
        <w:rPr>
          <w:rFonts w:hint="eastAsia" w:ascii="仿宋_GB2312" w:hAnsi="宋体" w:eastAsia="仿宋_GB2312"/>
          <w:sz w:val="32"/>
          <w:szCs w:val="32"/>
          <w:lang w:val="en-US" w:eastAsia="zh-CN"/>
        </w:rPr>
        <w:t>优秀</w:t>
      </w:r>
      <w:r>
        <w:rPr>
          <w:rFonts w:hint="eastAsia" w:ascii="仿宋_GB2312" w:hAnsi="宋体" w:eastAsia="仿宋_GB2312"/>
          <w:sz w:val="32"/>
          <w:szCs w:val="32"/>
        </w:rPr>
        <w:t>或专八考试</w:t>
      </w:r>
      <w:r>
        <w:rPr>
          <w:rFonts w:hint="eastAsia" w:ascii="仿宋_GB2312" w:hAnsi="宋体" w:eastAsia="仿宋_GB2312"/>
          <w:sz w:val="32"/>
          <w:szCs w:val="32"/>
          <w:lang w:val="en-US" w:eastAsia="zh-CN"/>
        </w:rPr>
        <w:t>良好及以上</w:t>
      </w:r>
      <w:r>
        <w:rPr>
          <w:rFonts w:hint="eastAsia" w:ascii="仿宋_GB2312" w:hAnsi="宋体" w:eastAsia="仿宋_GB2312"/>
          <w:sz w:val="32"/>
          <w:szCs w:val="32"/>
        </w:rPr>
        <w:t>;</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（4）拥有翻译实践相关经验或相关行业资格认证者。</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（三）接收调剂规则</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1.学校以在“中国研究生招生信息网”上考生填报的调剂志愿为依据接收调剂考生。</w:t>
      </w:r>
    </w:p>
    <w:p>
      <w:pPr>
        <w:widowControl/>
        <w:spacing w:line="60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对于同一批次申请调剂且报考同一单位、同一专业、初试科目完全相同的考生，在符合专业附加选拔条件的情况下，按考生初试成绩择优遴选进入复试考生名单。</w:t>
      </w:r>
    </w:p>
    <w:p>
      <w:pPr>
        <w:widowControl/>
        <w:spacing w:line="600" w:lineRule="exact"/>
        <w:ind w:firstLine="640" w:firstLineChars="200"/>
        <w:rPr>
          <w:rFonts w:ascii="仿宋_GB2312" w:hAnsi="宋体" w:eastAsia="仿宋_GB2312"/>
          <w:sz w:val="32"/>
          <w:szCs w:val="32"/>
        </w:rPr>
      </w:pPr>
      <w:r>
        <w:rPr>
          <w:rFonts w:ascii="仿宋_GB2312" w:hAnsi="宋体" w:eastAsia="仿宋_GB2312"/>
          <w:sz w:val="32"/>
          <w:szCs w:val="32"/>
        </w:rPr>
        <w:t>3.每一批次调剂系统开放的时间不低于12小时，前一批次的调剂通知发送后，</w:t>
      </w:r>
      <w:r>
        <w:rPr>
          <w:rFonts w:hint="eastAsia" w:ascii="仿宋_GB2312" w:hAnsi="宋体" w:eastAsia="仿宋_GB2312"/>
          <w:sz w:val="32"/>
          <w:szCs w:val="32"/>
        </w:rPr>
        <w:t>解锁未通知复试的调剂志愿；复试结束后，若还有调剂缺额，学校再次开放调剂系统接受考生申请，学院重新确定并公布筛选条件，前一批次落选的考生如符合条件需重新提交调剂申请。</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4.一般情况下，符合报名条件的学硕可以调入专硕，专硕不调入学硕。</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（四）调剂流程与复试</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ascii="仿宋_GB2312" w:hAnsi="宋体" w:eastAsia="仿宋_GB2312"/>
          <w:sz w:val="32"/>
          <w:szCs w:val="32"/>
        </w:rPr>
        <w:t>调剂系统申请</w:t>
      </w:r>
      <w:r>
        <w:rPr>
          <w:rFonts w:hint="eastAsia" w:ascii="仿宋_GB2312" w:hAnsi="宋体" w:eastAsia="仿宋_GB2312"/>
          <w:sz w:val="32"/>
          <w:szCs w:val="32"/>
        </w:rPr>
        <w:t>：符合调剂要求的考生登录硕士研究生调剂服务系统，根据系统公布调剂要求以及接收调剂的专业、缺额填报调剂志愿（无论通过何种形式联系调剂单位的考生均须登陆中国研究生招生信息网http://yz.chsi.com.cn 填写调剂志愿）。</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复试名单确认：学院对符合调剂复试要求的考生进行审查，拟定具体调剂考生复试入围筛选标准，报备学校研究生招生工作领导小组审核后进行公布；同时，确定调剂考生复试名单，由学校研招办统一发放调剂复试通知。考生需及时查看“复试通知”并确认，并随时保持电话畅通。未按照要求在规定时间内确认“复试通知”，将在确认时间截止后取消相应资格。</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3.调剂复试办法：调剂考生复试安排参照第一志愿报考考生复试工作安排执行。</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调剂考生录取：学院将调剂考生复试及拟录取结果上报学校招生工作领导小组审定，审核通过后，由校研招办在调剂系统里给学生发送拟录取通知。“拟录取”的考生在规定的时间内须在网上接受拟录取通知，否则视为自动放弃。</w:t>
      </w:r>
    </w:p>
    <w:p>
      <w:pPr>
        <w:widowControl/>
        <w:spacing w:line="600" w:lineRule="exact"/>
        <w:ind w:firstLine="640" w:firstLineChars="200"/>
        <w:rPr>
          <w:rFonts w:ascii="黑体" w:hAnsi="黑体" w:eastAsia="黑体"/>
          <w:sz w:val="32"/>
          <w:szCs w:val="32"/>
        </w:rPr>
      </w:pPr>
      <w:r>
        <w:rPr>
          <w:rFonts w:hint="eastAsia" w:ascii="黑体" w:hAnsi="黑体" w:eastAsia="黑体"/>
          <w:sz w:val="32"/>
          <w:szCs w:val="32"/>
        </w:rPr>
        <w:t>七、其他注意事项</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1.所有</w:t>
      </w:r>
      <w:r>
        <w:rPr>
          <w:rFonts w:hint="eastAsia" w:ascii="仿宋_GB2312" w:hAnsi="宋体" w:eastAsia="仿宋_GB2312"/>
          <w:sz w:val="32"/>
          <w:szCs w:val="32"/>
          <w:lang w:val="en-US" w:eastAsia="zh-CN"/>
        </w:rPr>
        <w:t>参加复试的</w:t>
      </w:r>
      <w:r>
        <w:rPr>
          <w:rFonts w:hint="eastAsia" w:ascii="仿宋_GB2312" w:hAnsi="宋体" w:eastAsia="仿宋_GB2312"/>
          <w:sz w:val="32"/>
          <w:szCs w:val="32"/>
        </w:rPr>
        <w:t>考生应加入学院硕士研究生复试QQ群（群号：392601055），即时获取和了解学校和学院复试与招生工作相关通知和要求。</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2.考生应按照《湖南农业大学202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年硕士研究生远程网络复试软硬件及环境要求》和《考生使用手册》提前准备好网络远程面试所需设备。安装“云视讯—云考场”招生面试系统、腾讯会议软件，并熟悉相关操作环节。并在规定时间参加复试，</w:t>
      </w:r>
      <w:r>
        <w:rPr>
          <w:rFonts w:ascii="仿宋_GB2312" w:hAnsi="宋体" w:eastAsia="仿宋_GB2312"/>
          <w:sz w:val="32"/>
          <w:szCs w:val="32"/>
        </w:rPr>
        <w:t>未按规定时间参加复试的考生按弃权处理</w:t>
      </w:r>
      <w:r>
        <w:rPr>
          <w:rFonts w:hint="eastAsia" w:ascii="仿宋_GB2312" w:hAnsi="宋体" w:eastAsia="仿宋_GB2312"/>
          <w:sz w:val="32"/>
          <w:szCs w:val="32"/>
        </w:rPr>
        <w:t>。</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学院在规定时间组织专家在指定考场进行网络复试，考生远程现场抽取面试次序，在完成身份验证后开始面试，考生随机抽取面试试题，专家现场打分，秘书负责软件操作和成绩汇总。</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4.</w:t>
      </w:r>
      <w:r>
        <w:rPr>
          <w:rFonts w:ascii="仿宋_GB2312" w:hAnsi="宋体" w:eastAsia="仿宋_GB2312"/>
          <w:sz w:val="32"/>
          <w:szCs w:val="32"/>
        </w:rPr>
        <w:t>学费标准以湖南省发改委最新文件为准</w:t>
      </w:r>
      <w:r>
        <w:rPr>
          <w:rFonts w:hint="eastAsia" w:ascii="仿宋_GB2312" w:hAnsi="宋体" w:eastAsia="仿宋_GB2312"/>
          <w:sz w:val="32"/>
          <w:szCs w:val="32"/>
        </w:rPr>
        <w:t>。</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5.学制的设置具体以202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年执行的培养方案为准。</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6.未按规定时间参加复试的考生按放弃处理。</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.所有考生的初试成绩不提供打印材料,考生可在中国研究生招生信息网自行下载并打印初试成绩</w:t>
      </w:r>
      <w:r>
        <w:rPr>
          <w:rFonts w:hint="eastAsia" w:ascii="仿宋_GB2312" w:hAnsi="宋体" w:eastAsia="仿宋_GB2312"/>
          <w:sz w:val="32"/>
          <w:szCs w:val="32"/>
        </w:rPr>
        <w:t>。</w:t>
      </w:r>
    </w:p>
    <w:p>
      <w:pPr>
        <w:widowControl/>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.本方案最终解释权归</w:t>
      </w:r>
      <w:r>
        <w:rPr>
          <w:rFonts w:hint="eastAsia" w:ascii="仿宋_GB2312" w:hAnsi="宋体" w:eastAsia="仿宋_GB2312"/>
          <w:sz w:val="32"/>
          <w:szCs w:val="32"/>
        </w:rPr>
        <w:t>学院</w:t>
      </w:r>
      <w:r>
        <w:rPr>
          <w:rFonts w:ascii="仿宋_GB2312" w:hAnsi="宋体" w:eastAsia="仿宋_GB2312"/>
          <w:sz w:val="32"/>
          <w:szCs w:val="32"/>
        </w:rPr>
        <w:t>研究生招生</w:t>
      </w:r>
      <w:r>
        <w:rPr>
          <w:rFonts w:hint="eastAsia" w:ascii="仿宋_GB2312" w:hAnsi="宋体" w:eastAsia="仿宋_GB2312"/>
          <w:sz w:val="32"/>
          <w:szCs w:val="32"/>
        </w:rPr>
        <w:t>工作</w:t>
      </w:r>
      <w:r>
        <w:rPr>
          <w:rFonts w:ascii="仿宋_GB2312" w:hAnsi="宋体" w:eastAsia="仿宋_GB2312"/>
          <w:sz w:val="32"/>
          <w:szCs w:val="32"/>
        </w:rPr>
        <w:t>领导小组</w:t>
      </w:r>
      <w:r>
        <w:rPr>
          <w:rFonts w:hint="eastAsia" w:ascii="仿宋_GB2312" w:hAnsi="宋体" w:eastAsia="仿宋_GB2312"/>
          <w:sz w:val="32"/>
          <w:szCs w:val="32"/>
        </w:rPr>
        <w:t>，未尽事宜经学院</w:t>
      </w:r>
      <w:r>
        <w:rPr>
          <w:rFonts w:ascii="仿宋_GB2312" w:hAnsi="宋体" w:eastAsia="仿宋_GB2312"/>
          <w:sz w:val="32"/>
          <w:szCs w:val="32"/>
        </w:rPr>
        <w:t>研究生招生</w:t>
      </w:r>
      <w:r>
        <w:rPr>
          <w:rFonts w:hint="eastAsia" w:ascii="仿宋_GB2312" w:hAnsi="宋体" w:eastAsia="仿宋_GB2312"/>
          <w:sz w:val="32"/>
          <w:szCs w:val="32"/>
        </w:rPr>
        <w:t>工作</w:t>
      </w:r>
      <w:r>
        <w:rPr>
          <w:rFonts w:ascii="仿宋_GB2312" w:hAnsi="宋体" w:eastAsia="仿宋_GB2312"/>
          <w:sz w:val="32"/>
          <w:szCs w:val="32"/>
        </w:rPr>
        <w:t>领导小组</w:t>
      </w:r>
      <w:r>
        <w:rPr>
          <w:rFonts w:hint="eastAsia" w:ascii="仿宋_GB2312" w:hAnsi="宋体" w:eastAsia="仿宋_GB2312"/>
          <w:sz w:val="32"/>
          <w:szCs w:val="32"/>
        </w:rPr>
        <w:t>审定为准</w:t>
      </w:r>
      <w:r>
        <w:rPr>
          <w:rFonts w:ascii="仿宋_GB2312" w:hAnsi="宋体" w:eastAsia="仿宋_GB2312"/>
          <w:sz w:val="32"/>
          <w:szCs w:val="32"/>
        </w:rPr>
        <w:t>。</w:t>
      </w:r>
    </w:p>
    <w:p>
      <w:pPr>
        <w:widowControl/>
        <w:spacing w:line="560" w:lineRule="exact"/>
        <w:ind w:firstLine="640" w:firstLineChars="200"/>
        <w:rPr>
          <w:rFonts w:ascii="仿宋_GB2312" w:hAnsi="宋体" w:eastAsia="仿宋_GB2312"/>
          <w:sz w:val="32"/>
          <w:szCs w:val="32"/>
        </w:rPr>
      </w:pP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附件:人文与外语学院202</w:t>
      </w:r>
      <w:r>
        <w:rPr>
          <w:rFonts w:hint="eastAsia" w:ascii="仿宋_GB2312" w:hAnsi="宋体" w:eastAsia="仿宋_GB2312"/>
          <w:sz w:val="32"/>
          <w:szCs w:val="32"/>
          <w:lang w:val="en-US" w:eastAsia="zh-CN"/>
        </w:rPr>
        <w:t>2</w:t>
      </w:r>
      <w:r>
        <w:rPr>
          <w:rFonts w:hint="eastAsia" w:ascii="仿宋_GB2312" w:hAnsi="宋体" w:eastAsia="仿宋_GB2312"/>
          <w:sz w:val="32"/>
          <w:szCs w:val="32"/>
        </w:rPr>
        <w:t>年硕士研究生一志愿考生复试名单</w:t>
      </w:r>
    </w:p>
    <w:p>
      <w:pPr>
        <w:widowControl/>
        <w:spacing w:line="500" w:lineRule="exact"/>
        <w:ind w:firstLine="476" w:firstLineChars="149"/>
        <w:rPr>
          <w:rFonts w:ascii="仿宋_GB2312" w:hAnsi="宋体" w:eastAsia="仿宋_GB2312"/>
          <w:sz w:val="32"/>
          <w:szCs w:val="32"/>
        </w:rPr>
      </w:pPr>
    </w:p>
    <w:p>
      <w:pPr>
        <w:widowControl/>
        <w:spacing w:line="500" w:lineRule="exact"/>
        <w:ind w:firstLine="476" w:firstLineChars="149"/>
        <w:rPr>
          <w:rFonts w:ascii="仿宋_GB2312" w:hAnsi="宋体" w:eastAsia="仿宋_GB2312"/>
          <w:sz w:val="32"/>
          <w:szCs w:val="32"/>
        </w:rPr>
      </w:pPr>
    </w:p>
    <w:p>
      <w:pPr>
        <w:widowControl/>
        <w:spacing w:line="500" w:lineRule="exact"/>
        <w:rPr>
          <w:rFonts w:ascii="仿宋_GB2312" w:hAnsi="宋体" w:eastAsia="仿宋_GB2312"/>
          <w:sz w:val="32"/>
          <w:szCs w:val="32"/>
        </w:rPr>
      </w:pPr>
    </w:p>
    <w:p/>
    <w:p>
      <w:pPr>
        <w:widowControl/>
        <w:spacing w:line="500" w:lineRule="exact"/>
        <w:ind w:firstLine="476" w:firstLineChars="149"/>
        <w:rPr>
          <w:rFonts w:ascii="仿宋_GB2312" w:hAnsi="宋体" w:eastAsia="仿宋_GB2312"/>
          <w:sz w:val="32"/>
          <w:szCs w:val="32"/>
        </w:rPr>
      </w:pPr>
    </w:p>
    <w:p>
      <w:pPr>
        <w:spacing w:line="560" w:lineRule="exact"/>
        <w:ind w:firstLine="1600" w:firstLineChars="500"/>
        <w:jc w:val="right"/>
        <w:rPr>
          <w:rFonts w:ascii="仿宋_GB2312" w:hAnsi="宋体" w:eastAsia="仿宋_GB2312"/>
          <w:sz w:val="32"/>
          <w:szCs w:val="32"/>
        </w:rPr>
      </w:pPr>
      <w:r>
        <w:rPr>
          <w:rFonts w:hint="eastAsia" w:ascii="仿宋_GB2312" w:eastAsia="仿宋_GB2312" w:cs="仿宋_GB2312"/>
          <w:kern w:val="0"/>
          <w:sz w:val="32"/>
          <w:szCs w:val="32"/>
        </w:rPr>
        <w:t>湖南农业大学人文与外语学院</w:t>
      </w:r>
    </w:p>
    <w:p>
      <w:pPr>
        <w:shd w:val="clear" w:color="auto" w:fill="FFFFFF"/>
        <w:wordWrap w:val="0"/>
        <w:spacing w:line="560" w:lineRule="exact"/>
        <w:jc w:val="right"/>
        <w:rPr>
          <w:rFonts w:hint="eastAsia" w:ascii="仿宋_GB2312" w:hAnsi="宋体" w:eastAsia="仿宋_GB2312"/>
          <w:sz w:val="32"/>
          <w:szCs w:val="32"/>
        </w:rPr>
      </w:pPr>
      <w:r>
        <w:rPr>
          <w:rFonts w:ascii="仿宋_GB2312" w:hAnsi="宋体" w:eastAsia="仿宋_GB2312"/>
          <w:sz w:val="32"/>
          <w:szCs w:val="32"/>
        </w:rPr>
        <w:t>202</w:t>
      </w:r>
      <w:r>
        <w:rPr>
          <w:rFonts w:hint="eastAsia" w:ascii="仿宋_GB2312" w:hAnsi="宋体" w:eastAsia="仿宋_GB2312"/>
          <w:sz w:val="32"/>
          <w:szCs w:val="32"/>
          <w:lang w:val="en-US" w:eastAsia="zh-CN"/>
        </w:rPr>
        <w:t>2</w:t>
      </w:r>
      <w:r>
        <w:rPr>
          <w:rFonts w:ascii="仿宋_GB2312" w:hAnsi="宋体" w:eastAsia="仿宋_GB2312"/>
          <w:sz w:val="32"/>
          <w:szCs w:val="32"/>
        </w:rPr>
        <w:t>年</w:t>
      </w:r>
      <w:r>
        <w:rPr>
          <w:rFonts w:hint="eastAsia" w:ascii="仿宋_GB2312" w:hAnsi="宋体" w:eastAsia="仿宋_GB2312"/>
          <w:sz w:val="32"/>
          <w:szCs w:val="32"/>
          <w:lang w:val="en-US" w:eastAsia="zh-CN"/>
        </w:rPr>
        <w:t>4</w:t>
      </w:r>
      <w:r>
        <w:rPr>
          <w:rFonts w:ascii="仿宋_GB2312" w:hAnsi="宋体" w:eastAsia="仿宋_GB2312"/>
          <w:sz w:val="32"/>
          <w:szCs w:val="32"/>
        </w:rPr>
        <w:t>月</w:t>
      </w:r>
      <w:r>
        <w:rPr>
          <w:rFonts w:hint="eastAsia" w:ascii="仿宋_GB2312" w:hAnsi="宋体" w:eastAsia="仿宋_GB2312"/>
          <w:sz w:val="32"/>
          <w:szCs w:val="32"/>
          <w:lang w:val="en-US" w:eastAsia="zh-CN"/>
        </w:rPr>
        <w:t>1</w:t>
      </w:r>
      <w:r>
        <w:rPr>
          <w:rFonts w:ascii="仿宋_GB2312" w:hAnsi="宋体" w:eastAsia="仿宋_GB2312"/>
          <w:sz w:val="32"/>
          <w:szCs w:val="32"/>
        </w:rPr>
        <w:t>日</w:t>
      </w:r>
      <w:r>
        <w:rPr>
          <w:rFonts w:hint="eastAsia" w:ascii="仿宋_GB2312" w:hAnsi="宋体" w:eastAsia="仿宋_GB2312"/>
          <w:sz w:val="32"/>
          <w:szCs w:val="32"/>
        </w:rPr>
        <w:t xml:space="preserve">    </w:t>
      </w:r>
    </w:p>
    <w:p>
      <w:pPr>
        <w:pStyle w:val="2"/>
        <w:wordWrap/>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jc w:val="both"/>
        <w:rPr>
          <w:rFonts w:hint="eastAsia" w:ascii="仿宋_GB2312" w:hAnsi="宋体" w:eastAsia="仿宋_GB2312"/>
          <w:sz w:val="32"/>
          <w:szCs w:val="32"/>
        </w:rPr>
      </w:pPr>
    </w:p>
    <w:p>
      <w:pPr>
        <w:pStyle w:val="2"/>
        <w:jc w:val="both"/>
        <w:rPr>
          <w:rFonts w:hint="eastAsia"/>
        </w:rPr>
      </w:pPr>
    </w:p>
    <w:p>
      <w:pPr>
        <w:rPr>
          <w:rFonts w:hint="eastAsia" w:ascii="仿宋_GB2312" w:hAnsi="宋体" w:eastAsia="仿宋_GB2312"/>
          <w:sz w:val="32"/>
          <w:szCs w:val="32"/>
        </w:rPr>
      </w:pPr>
    </w:p>
    <w:p/>
    <w:p>
      <w:pPr>
        <w:spacing w:line="560" w:lineRule="exact"/>
        <w:rPr>
          <w:rFonts w:ascii="仿宋_GB2312" w:hAnsi="宋体" w:eastAsia="仿宋_GB2312" w:cs="仿宋_GB2312"/>
          <w:sz w:val="32"/>
          <w:szCs w:val="32"/>
          <w:u w:val="single"/>
        </w:rPr>
      </w:pPr>
      <w:r>
        <w:rPr>
          <w:rFonts w:ascii="仿宋_GB2312" w:hAnsi="宋体" w:eastAsia="仿宋_GB2312" w:cs="仿宋_GB2312"/>
          <w:sz w:val="32"/>
          <w:szCs w:val="32"/>
          <w:u w:val="single"/>
        </w:rPr>
        <w:t xml:space="preserve">                                                    </w:t>
      </w:r>
    </w:p>
    <w:p>
      <w:pPr>
        <w:spacing w:line="480" w:lineRule="exact"/>
      </w:pPr>
      <w:r>
        <w:rPr>
          <w:rFonts w:hint="eastAsia" w:ascii="仿宋_GB2312" w:hAnsi="宋体" w:eastAsia="仿宋_GB2312" w:cs="仿宋_GB2312"/>
          <w:position w:val="6"/>
          <w:sz w:val="28"/>
          <w:szCs w:val="28"/>
          <w:u w:val="single"/>
        </w:rPr>
        <w:t xml:space="preserve"> 人文与外语学院办公室                  </w:t>
      </w:r>
      <w:r>
        <w:rPr>
          <w:rFonts w:ascii="仿宋_GB2312" w:hAnsi="宋体" w:eastAsia="仿宋_GB2312" w:cs="仿宋_GB2312"/>
          <w:position w:val="6"/>
          <w:sz w:val="28"/>
          <w:szCs w:val="28"/>
          <w:u w:val="single"/>
        </w:rPr>
        <w:t xml:space="preserve"> 20</w:t>
      </w:r>
      <w:r>
        <w:rPr>
          <w:rFonts w:hint="eastAsia" w:ascii="仿宋_GB2312" w:hAnsi="宋体" w:eastAsia="仿宋_GB2312" w:cs="仿宋_GB2312"/>
          <w:position w:val="6"/>
          <w:sz w:val="28"/>
          <w:szCs w:val="28"/>
          <w:u w:val="single"/>
        </w:rPr>
        <w:t>2</w:t>
      </w:r>
      <w:r>
        <w:rPr>
          <w:rFonts w:hint="eastAsia" w:ascii="仿宋_GB2312" w:hAnsi="宋体" w:eastAsia="仿宋_GB2312" w:cs="仿宋_GB2312"/>
          <w:position w:val="6"/>
          <w:sz w:val="28"/>
          <w:szCs w:val="28"/>
          <w:u w:val="single"/>
          <w:lang w:val="en-US" w:eastAsia="zh-CN"/>
        </w:rPr>
        <w:t>2</w:t>
      </w:r>
      <w:r>
        <w:rPr>
          <w:rFonts w:hint="eastAsia" w:ascii="仿宋_GB2312" w:hAnsi="宋体" w:eastAsia="仿宋_GB2312" w:cs="仿宋_GB2312"/>
          <w:position w:val="6"/>
          <w:sz w:val="28"/>
          <w:szCs w:val="28"/>
          <w:u w:val="single"/>
        </w:rPr>
        <w:t>年</w:t>
      </w:r>
      <w:r>
        <w:rPr>
          <w:rFonts w:hint="eastAsia" w:ascii="仿宋_GB2312" w:hAnsi="宋体" w:eastAsia="仿宋_GB2312" w:cs="仿宋_GB2312"/>
          <w:position w:val="6"/>
          <w:sz w:val="28"/>
          <w:szCs w:val="28"/>
          <w:u w:val="single"/>
          <w:lang w:val="en-US" w:eastAsia="zh-CN"/>
        </w:rPr>
        <w:t>4</w:t>
      </w:r>
      <w:r>
        <w:rPr>
          <w:rFonts w:hint="eastAsia" w:ascii="仿宋_GB2312" w:hAnsi="宋体" w:eastAsia="仿宋_GB2312" w:cs="仿宋_GB2312"/>
          <w:position w:val="6"/>
          <w:sz w:val="28"/>
          <w:szCs w:val="28"/>
          <w:u w:val="single"/>
        </w:rPr>
        <w:t>月</w:t>
      </w:r>
      <w:r>
        <w:rPr>
          <w:rFonts w:hint="eastAsia" w:ascii="仿宋_GB2312" w:hAnsi="宋体" w:eastAsia="仿宋_GB2312" w:cs="仿宋_GB2312"/>
          <w:position w:val="6"/>
          <w:sz w:val="28"/>
          <w:szCs w:val="28"/>
          <w:u w:val="single"/>
          <w:lang w:val="en-US" w:eastAsia="zh-CN"/>
        </w:rPr>
        <w:t>1</w:t>
      </w:r>
      <w:r>
        <w:rPr>
          <w:rFonts w:hint="eastAsia" w:ascii="仿宋_GB2312" w:hAnsi="宋体" w:eastAsia="仿宋_GB2312" w:cs="仿宋_GB2312"/>
          <w:position w:val="6"/>
          <w:sz w:val="28"/>
          <w:szCs w:val="28"/>
          <w:u w:val="single"/>
        </w:rPr>
        <w:t>日印发</w:t>
      </w:r>
    </w:p>
    <w:p>
      <w:pPr>
        <w:spacing w:line="560" w:lineRule="exact"/>
        <w:rPr>
          <w:rFonts w:ascii="仿宋_GB2312" w:eastAsia="仿宋_GB2312"/>
          <w:kern w:val="0"/>
          <w:sz w:val="32"/>
          <w:szCs w:val="32"/>
        </w:rPr>
        <w:sectPr>
          <w:footerReference r:id="rId3" w:type="default"/>
          <w:footerReference r:id="rId4" w:type="even"/>
          <w:pgSz w:w="11906" w:h="16838"/>
          <w:pgMar w:top="1440" w:right="1800" w:bottom="1440" w:left="1800" w:header="851" w:footer="851" w:gutter="0"/>
          <w:pgNumType w:start="1"/>
          <w:cols w:space="720" w:num="1"/>
          <w:titlePg/>
          <w:docGrid w:type="lines" w:linePitch="312" w:charSpace="0"/>
        </w:sectPr>
      </w:pPr>
    </w:p>
    <w:p>
      <w:pPr>
        <w:spacing w:line="494" w:lineRule="exact"/>
        <w:rPr>
          <w:rFonts w:ascii="仿宋_GB2312" w:hAnsi="宋体" w:eastAsia="仿宋_GB2312"/>
          <w:sz w:val="32"/>
          <w:szCs w:val="32"/>
        </w:rPr>
      </w:pPr>
      <w:r>
        <w:rPr>
          <w:rFonts w:hint="eastAsia" w:ascii="仿宋_GB2312" w:hAnsi="宋体" w:eastAsia="仿宋_GB2312"/>
          <w:sz w:val="32"/>
          <w:szCs w:val="32"/>
        </w:rPr>
        <w:t>附件：</w:t>
      </w:r>
    </w:p>
    <w:p>
      <w:pPr>
        <w:spacing w:line="600" w:lineRule="exact"/>
        <w:jc w:val="center"/>
        <w:rPr>
          <w:rFonts w:ascii="黑体" w:eastAsia="黑体"/>
          <w:b/>
          <w:kern w:val="0"/>
          <w:sz w:val="44"/>
          <w:szCs w:val="44"/>
        </w:rPr>
      </w:pPr>
      <w:r>
        <w:rPr>
          <w:rFonts w:hint="eastAsia" w:ascii="黑体" w:eastAsia="黑体"/>
          <w:b/>
          <w:kern w:val="0"/>
          <w:sz w:val="44"/>
          <w:szCs w:val="44"/>
        </w:rPr>
        <w:t>人文与外语学院202</w:t>
      </w:r>
      <w:r>
        <w:rPr>
          <w:rFonts w:hint="eastAsia" w:ascii="黑体" w:eastAsia="黑体"/>
          <w:b/>
          <w:kern w:val="0"/>
          <w:sz w:val="44"/>
          <w:szCs w:val="44"/>
          <w:lang w:val="en-US" w:eastAsia="zh-CN"/>
        </w:rPr>
        <w:t>2</w:t>
      </w:r>
      <w:r>
        <w:rPr>
          <w:rFonts w:hint="eastAsia" w:ascii="黑体" w:eastAsia="黑体"/>
          <w:b/>
          <w:kern w:val="0"/>
          <w:sz w:val="44"/>
          <w:szCs w:val="44"/>
        </w:rPr>
        <w:t>年硕士研究生</w:t>
      </w:r>
    </w:p>
    <w:p>
      <w:pPr>
        <w:spacing w:after="100" w:afterAutospacing="1" w:line="600" w:lineRule="exact"/>
        <w:jc w:val="center"/>
        <w:rPr>
          <w:rFonts w:ascii="黑体" w:eastAsia="黑体"/>
          <w:b/>
          <w:kern w:val="0"/>
          <w:sz w:val="44"/>
          <w:szCs w:val="44"/>
        </w:rPr>
      </w:pPr>
      <w:r>
        <w:rPr>
          <w:rFonts w:hint="eastAsia" w:ascii="黑体" w:eastAsia="黑体"/>
          <w:b/>
          <w:kern w:val="0"/>
          <w:sz w:val="44"/>
          <w:szCs w:val="44"/>
        </w:rPr>
        <w:t>一志愿考生复试名单</w:t>
      </w:r>
    </w:p>
    <w:tbl>
      <w:tblPr>
        <w:tblStyle w:val="8"/>
        <w:tblW w:w="8895" w:type="dxa"/>
        <w:tblInd w:w="98" w:type="dxa"/>
        <w:tblLayout w:type="autofit"/>
        <w:tblCellMar>
          <w:top w:w="0" w:type="dxa"/>
          <w:left w:w="108" w:type="dxa"/>
          <w:bottom w:w="0" w:type="dxa"/>
          <w:right w:w="108" w:type="dxa"/>
        </w:tblCellMar>
      </w:tblPr>
      <w:tblGrid>
        <w:gridCol w:w="910"/>
        <w:gridCol w:w="2786"/>
        <w:gridCol w:w="3498"/>
        <w:gridCol w:w="1701"/>
      </w:tblGrid>
      <w:tr>
        <w:tblPrEx>
          <w:tblCellMar>
            <w:top w:w="0" w:type="dxa"/>
            <w:left w:w="108" w:type="dxa"/>
            <w:bottom w:w="0" w:type="dxa"/>
            <w:right w:w="108" w:type="dxa"/>
          </w:tblCellMar>
        </w:tblPrEx>
        <w:trPr>
          <w:trHeight w:val="582"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s="宋体"/>
                <w:b/>
                <w:bCs/>
                <w:color w:val="000000"/>
                <w:kern w:val="0"/>
                <w:sz w:val="32"/>
                <w:szCs w:val="32"/>
              </w:rPr>
            </w:pPr>
            <w:r>
              <w:rPr>
                <w:rFonts w:hint="eastAsia" w:ascii="仿宋_GB2312" w:eastAsia="仿宋_GB2312" w:cs="宋体"/>
                <w:b/>
                <w:bCs/>
                <w:color w:val="000000"/>
                <w:kern w:val="0"/>
                <w:sz w:val="32"/>
                <w:szCs w:val="32"/>
              </w:rPr>
              <w:t>序号</w:t>
            </w:r>
          </w:p>
        </w:tc>
        <w:tc>
          <w:tcPr>
            <w:tcW w:w="2786"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s="宋体"/>
                <w:b/>
                <w:bCs/>
                <w:color w:val="000000"/>
                <w:kern w:val="0"/>
                <w:sz w:val="32"/>
                <w:szCs w:val="32"/>
              </w:rPr>
            </w:pPr>
            <w:r>
              <w:rPr>
                <w:rFonts w:hint="eastAsia" w:ascii="仿宋_GB2312" w:eastAsia="仿宋_GB2312" w:cs="宋体"/>
                <w:b/>
                <w:bCs/>
                <w:color w:val="000000"/>
                <w:kern w:val="0"/>
                <w:sz w:val="32"/>
                <w:szCs w:val="32"/>
              </w:rPr>
              <w:t>考生编号</w:t>
            </w:r>
          </w:p>
        </w:tc>
        <w:tc>
          <w:tcPr>
            <w:tcW w:w="3498"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s="宋体"/>
                <w:b/>
                <w:bCs/>
                <w:color w:val="000000"/>
                <w:kern w:val="0"/>
                <w:sz w:val="32"/>
                <w:szCs w:val="32"/>
              </w:rPr>
            </w:pPr>
            <w:r>
              <w:rPr>
                <w:rFonts w:hint="eastAsia" w:ascii="仿宋_GB2312" w:eastAsia="仿宋_GB2312" w:cs="宋体"/>
                <w:b/>
                <w:bCs/>
                <w:color w:val="000000"/>
                <w:kern w:val="0"/>
                <w:sz w:val="32"/>
                <w:szCs w:val="32"/>
              </w:rPr>
              <w:t>专业名称</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s="宋体"/>
                <w:b/>
                <w:bCs/>
                <w:color w:val="000000"/>
                <w:kern w:val="0"/>
                <w:sz w:val="32"/>
                <w:szCs w:val="32"/>
              </w:rPr>
            </w:pPr>
            <w:r>
              <w:rPr>
                <w:rFonts w:hint="eastAsia" w:ascii="仿宋_GB2312" w:eastAsia="仿宋_GB2312" w:cs="宋体"/>
                <w:b/>
                <w:bCs/>
                <w:color w:val="000000"/>
                <w:kern w:val="0"/>
                <w:sz w:val="32"/>
                <w:szCs w:val="32"/>
              </w:rPr>
              <w:t>姓名</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105372430706547</w:t>
            </w:r>
          </w:p>
        </w:tc>
        <w:tc>
          <w:tcPr>
            <w:tcW w:w="3498"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hAnsiTheme="minorEastAsia" w:cstheme="minorEastAsia"/>
                <w:color w:val="000000"/>
                <w:kern w:val="0"/>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郭亚群</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2</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105372432206539</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张雯</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3</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105372430706526</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杨迪</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4</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105372430706548</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周嘉丽</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5</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105372431806553</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苏慧灵</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6</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105372432406555</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朱思哲</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7</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105372430706530</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谭伶俐</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8</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105372430706521</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俞萱</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9</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105372430706549</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杨依玲</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10</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105372430706546</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廖云舒</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11</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105372430706529</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外国语言文学</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莫佳欣</w:t>
            </w:r>
          </w:p>
        </w:tc>
      </w:tr>
      <w:tr>
        <w:tblPrEx>
          <w:tblCellMar>
            <w:top w:w="0" w:type="dxa"/>
            <w:left w:w="108" w:type="dxa"/>
            <w:bottom w:w="0" w:type="dxa"/>
            <w:right w:w="108" w:type="dxa"/>
          </w:tblCellMar>
        </w:tblPrEx>
        <w:trPr>
          <w:trHeight w:val="567" w:hRule="atLeast"/>
        </w:trPr>
        <w:tc>
          <w:tcPr>
            <w:tcW w:w="910" w:type="dxa"/>
            <w:tcBorders>
              <w:top w:val="nil"/>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12</w:t>
            </w:r>
          </w:p>
        </w:tc>
        <w:tc>
          <w:tcPr>
            <w:tcW w:w="2786"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105372330306514</w:t>
            </w:r>
          </w:p>
        </w:tc>
        <w:tc>
          <w:tcPr>
            <w:tcW w:w="3498" w:type="dxa"/>
            <w:tcBorders>
              <w:top w:val="nil"/>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翻译</w:t>
            </w:r>
          </w:p>
        </w:tc>
        <w:tc>
          <w:tcPr>
            <w:tcW w:w="1701" w:type="dxa"/>
            <w:tcBorders>
              <w:top w:val="nil"/>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李程远</w:t>
            </w:r>
          </w:p>
        </w:tc>
      </w:tr>
      <w:tr>
        <w:tblPrEx>
          <w:tblCellMar>
            <w:top w:w="0" w:type="dxa"/>
            <w:left w:w="108" w:type="dxa"/>
            <w:bottom w:w="0" w:type="dxa"/>
            <w:right w:w="108" w:type="dxa"/>
          </w:tblCellMar>
        </w:tblPrEx>
        <w:trPr>
          <w:trHeight w:val="567"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13</w:t>
            </w:r>
          </w:p>
        </w:tc>
        <w:tc>
          <w:tcPr>
            <w:tcW w:w="2786"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105372361406515</w:t>
            </w:r>
          </w:p>
        </w:tc>
        <w:tc>
          <w:tcPr>
            <w:tcW w:w="3498" w:type="dxa"/>
            <w:tcBorders>
              <w:top w:val="single" w:color="auto" w:sz="4" w:space="0"/>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sz w:val="32"/>
                <w:szCs w:val="32"/>
              </w:rPr>
            </w:pPr>
            <w:r>
              <w:rPr>
                <w:rFonts w:hint="eastAsia" w:ascii="仿宋_GB2312" w:eastAsia="仿宋_GB2312" w:hAnsiTheme="minorEastAsia" w:cstheme="minorEastAsia"/>
                <w:color w:val="000000"/>
                <w:kern w:val="0"/>
                <w:sz w:val="32"/>
                <w:szCs w:val="32"/>
              </w:rPr>
              <w:t>翻译</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谢珑珍</w:t>
            </w:r>
          </w:p>
        </w:tc>
      </w:tr>
      <w:tr>
        <w:tblPrEx>
          <w:tblCellMar>
            <w:top w:w="0" w:type="dxa"/>
            <w:left w:w="108" w:type="dxa"/>
            <w:bottom w:w="0" w:type="dxa"/>
            <w:right w:w="108" w:type="dxa"/>
          </w:tblCellMar>
        </w:tblPrEx>
        <w:trPr>
          <w:trHeight w:val="567" w:hRule="atLeast"/>
        </w:trPr>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0" w:lineRule="exact"/>
              <w:jc w:val="center"/>
              <w:rPr>
                <w:rFonts w:ascii="仿宋_GB2312" w:eastAsia="仿宋_GB2312"/>
                <w:color w:val="000000"/>
                <w:kern w:val="0"/>
                <w:sz w:val="32"/>
                <w:szCs w:val="32"/>
              </w:rPr>
            </w:pPr>
            <w:r>
              <w:rPr>
                <w:rFonts w:hint="eastAsia" w:ascii="仿宋_GB2312" w:eastAsia="仿宋_GB2312"/>
                <w:color w:val="000000"/>
                <w:kern w:val="0"/>
                <w:sz w:val="32"/>
                <w:szCs w:val="32"/>
              </w:rPr>
              <w:t>14</w:t>
            </w:r>
          </w:p>
        </w:tc>
        <w:tc>
          <w:tcPr>
            <w:tcW w:w="2786"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105372431806503</w:t>
            </w:r>
          </w:p>
        </w:tc>
        <w:tc>
          <w:tcPr>
            <w:tcW w:w="3498" w:type="dxa"/>
            <w:tcBorders>
              <w:top w:val="single" w:color="auto" w:sz="4" w:space="0"/>
              <w:left w:val="nil"/>
              <w:bottom w:val="single" w:color="auto" w:sz="4" w:space="0"/>
              <w:right w:val="single" w:color="auto" w:sz="4" w:space="0"/>
            </w:tcBorders>
            <w:shd w:val="clear" w:color="auto" w:fill="auto"/>
            <w:noWrap/>
            <w:vAlign w:val="center"/>
          </w:tcPr>
          <w:p>
            <w:pPr>
              <w:spacing w:line="580" w:lineRule="exact"/>
              <w:jc w:val="center"/>
              <w:rPr>
                <w:rFonts w:ascii="仿宋_GB2312" w:eastAsia="仿宋_GB2312" w:hAnsiTheme="minorEastAsia" w:cstheme="minorEastAsia"/>
                <w:color w:val="000000"/>
                <w:kern w:val="0"/>
                <w:sz w:val="32"/>
                <w:szCs w:val="32"/>
              </w:rPr>
            </w:pPr>
            <w:r>
              <w:rPr>
                <w:rFonts w:hint="eastAsia" w:ascii="仿宋_GB2312" w:eastAsia="仿宋_GB2312" w:hAnsiTheme="minorEastAsia" w:cstheme="minorEastAsia"/>
                <w:color w:val="000000"/>
                <w:kern w:val="0"/>
                <w:sz w:val="32"/>
                <w:szCs w:val="32"/>
              </w:rPr>
              <w:t>翻译</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spacing w:line="580" w:lineRule="exact"/>
              <w:jc w:val="center"/>
              <w:textAlignment w:val="bottom"/>
              <w:rPr>
                <w:rFonts w:ascii="仿宋_GB2312" w:eastAsia="仿宋_GB2312" w:hAnsiTheme="minorEastAsia" w:cstheme="minorEastAsia"/>
                <w:color w:val="000000"/>
                <w:kern w:val="0"/>
                <w:sz w:val="32"/>
                <w:szCs w:val="32"/>
              </w:rPr>
            </w:pPr>
            <w:r>
              <w:rPr>
                <w:rFonts w:hint="eastAsia" w:ascii="仿宋_GB2312" w:eastAsia="仿宋_GB2312" w:hAnsiTheme="minorEastAsia" w:cstheme="minorEastAsia"/>
                <w:color w:val="000000"/>
                <w:kern w:val="0"/>
                <w:sz w:val="32"/>
                <w:szCs w:val="32"/>
              </w:rPr>
              <w:t>伍雨欣</w:t>
            </w:r>
          </w:p>
        </w:tc>
      </w:tr>
    </w:tbl>
    <w:p>
      <w:pPr>
        <w:spacing w:beforeLines="50" w:line="500" w:lineRule="exact"/>
        <w:rPr>
          <w:rFonts w:eastAsia="华文中宋"/>
          <w:b/>
          <w:sz w:val="36"/>
          <w:szCs w:val="36"/>
        </w:rPr>
      </w:pPr>
    </w:p>
    <w:sectPr>
      <w:footerReference r:id="rId5" w:type="default"/>
      <w:footerReference r:id="rId6" w:type="even"/>
      <w:pgSz w:w="11906" w:h="16838"/>
      <w:pgMar w:top="1440" w:right="146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14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fldChar w:fldCharType="begin"/>
    </w:r>
    <w:r>
      <w:rPr>
        <w:rStyle w:val="11"/>
      </w:rPr>
      <w:instrText xml:space="preserve">PAGE  </w:instrText>
    </w:r>
    <w:r>
      <w:fldChar w:fldCharType="separate"/>
    </w:r>
    <w:r>
      <w:rPr>
        <w:rStyle w:val="11"/>
      </w:rPr>
      <w:t>4</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15</w:t>
    </w:r>
    <w:r>
      <w:rPr>
        <w:rStyle w:val="11"/>
      </w:rP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F5F538"/>
    <w:multiLevelType w:val="singleLevel"/>
    <w:tmpl w:val="68F5F538"/>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63A"/>
    <w:rsid w:val="0000188A"/>
    <w:rsid w:val="000155C1"/>
    <w:rsid w:val="00033F55"/>
    <w:rsid w:val="00034CFE"/>
    <w:rsid w:val="00035C12"/>
    <w:rsid w:val="00036230"/>
    <w:rsid w:val="00040C68"/>
    <w:rsid w:val="00044D8B"/>
    <w:rsid w:val="00045212"/>
    <w:rsid w:val="0005078F"/>
    <w:rsid w:val="000532C3"/>
    <w:rsid w:val="00071CD3"/>
    <w:rsid w:val="00090B87"/>
    <w:rsid w:val="00091C89"/>
    <w:rsid w:val="000A26C5"/>
    <w:rsid w:val="000B39A2"/>
    <w:rsid w:val="000D047E"/>
    <w:rsid w:val="000F3E9C"/>
    <w:rsid w:val="00100071"/>
    <w:rsid w:val="00107F66"/>
    <w:rsid w:val="00114899"/>
    <w:rsid w:val="00117866"/>
    <w:rsid w:val="00126043"/>
    <w:rsid w:val="0013647A"/>
    <w:rsid w:val="0014378B"/>
    <w:rsid w:val="0015255C"/>
    <w:rsid w:val="00152CA5"/>
    <w:rsid w:val="001533FD"/>
    <w:rsid w:val="00155887"/>
    <w:rsid w:val="00171B34"/>
    <w:rsid w:val="00177276"/>
    <w:rsid w:val="00187D14"/>
    <w:rsid w:val="00190487"/>
    <w:rsid w:val="0019466F"/>
    <w:rsid w:val="00195727"/>
    <w:rsid w:val="001969DB"/>
    <w:rsid w:val="001A0864"/>
    <w:rsid w:val="001D1B48"/>
    <w:rsid w:val="001D7E26"/>
    <w:rsid w:val="001E15A3"/>
    <w:rsid w:val="001E1F29"/>
    <w:rsid w:val="001F50C8"/>
    <w:rsid w:val="002033B4"/>
    <w:rsid w:val="00215B7E"/>
    <w:rsid w:val="00230BA0"/>
    <w:rsid w:val="002370CE"/>
    <w:rsid w:val="00237A6E"/>
    <w:rsid w:val="002421BB"/>
    <w:rsid w:val="00251F82"/>
    <w:rsid w:val="0026574E"/>
    <w:rsid w:val="00297F0C"/>
    <w:rsid w:val="002A0E44"/>
    <w:rsid w:val="002C196F"/>
    <w:rsid w:val="002C1C6E"/>
    <w:rsid w:val="002D54A6"/>
    <w:rsid w:val="002D62FE"/>
    <w:rsid w:val="002E720F"/>
    <w:rsid w:val="00321B45"/>
    <w:rsid w:val="00324445"/>
    <w:rsid w:val="00327D1C"/>
    <w:rsid w:val="003324D3"/>
    <w:rsid w:val="003343BD"/>
    <w:rsid w:val="0033751B"/>
    <w:rsid w:val="003409EE"/>
    <w:rsid w:val="003427BF"/>
    <w:rsid w:val="00360E7C"/>
    <w:rsid w:val="00373E82"/>
    <w:rsid w:val="00377C9E"/>
    <w:rsid w:val="00380C72"/>
    <w:rsid w:val="0038210F"/>
    <w:rsid w:val="00382E83"/>
    <w:rsid w:val="003844A2"/>
    <w:rsid w:val="00387074"/>
    <w:rsid w:val="00393D4F"/>
    <w:rsid w:val="00395330"/>
    <w:rsid w:val="003A4BF4"/>
    <w:rsid w:val="003C2462"/>
    <w:rsid w:val="003D45ED"/>
    <w:rsid w:val="003E5095"/>
    <w:rsid w:val="003F468B"/>
    <w:rsid w:val="003F7B0D"/>
    <w:rsid w:val="004036E4"/>
    <w:rsid w:val="0041600E"/>
    <w:rsid w:val="004225BE"/>
    <w:rsid w:val="00443B32"/>
    <w:rsid w:val="004466CD"/>
    <w:rsid w:val="0045206A"/>
    <w:rsid w:val="00453437"/>
    <w:rsid w:val="00462096"/>
    <w:rsid w:val="00462E77"/>
    <w:rsid w:val="004748DE"/>
    <w:rsid w:val="004767E1"/>
    <w:rsid w:val="004809BA"/>
    <w:rsid w:val="0048641E"/>
    <w:rsid w:val="004959E4"/>
    <w:rsid w:val="004A46B5"/>
    <w:rsid w:val="004B68B7"/>
    <w:rsid w:val="004C3DC8"/>
    <w:rsid w:val="004D6899"/>
    <w:rsid w:val="004E2A06"/>
    <w:rsid w:val="00502826"/>
    <w:rsid w:val="00506307"/>
    <w:rsid w:val="005360C5"/>
    <w:rsid w:val="00557903"/>
    <w:rsid w:val="005626B6"/>
    <w:rsid w:val="00565AD3"/>
    <w:rsid w:val="00574AEB"/>
    <w:rsid w:val="0058061E"/>
    <w:rsid w:val="00582B71"/>
    <w:rsid w:val="00583B95"/>
    <w:rsid w:val="0058498D"/>
    <w:rsid w:val="0059653B"/>
    <w:rsid w:val="00597D0E"/>
    <w:rsid w:val="005C5221"/>
    <w:rsid w:val="005D2B3A"/>
    <w:rsid w:val="005D453E"/>
    <w:rsid w:val="005D4EF2"/>
    <w:rsid w:val="005E6B7F"/>
    <w:rsid w:val="005F6C89"/>
    <w:rsid w:val="00607E7B"/>
    <w:rsid w:val="0062150B"/>
    <w:rsid w:val="00627105"/>
    <w:rsid w:val="0062778A"/>
    <w:rsid w:val="00636CE8"/>
    <w:rsid w:val="0064591C"/>
    <w:rsid w:val="00652BC1"/>
    <w:rsid w:val="00671A23"/>
    <w:rsid w:val="00677BE6"/>
    <w:rsid w:val="0068410D"/>
    <w:rsid w:val="00691DCD"/>
    <w:rsid w:val="00693CCA"/>
    <w:rsid w:val="006A04D7"/>
    <w:rsid w:val="006A0616"/>
    <w:rsid w:val="006C304C"/>
    <w:rsid w:val="006D2E83"/>
    <w:rsid w:val="006D549B"/>
    <w:rsid w:val="006E16F4"/>
    <w:rsid w:val="006E707B"/>
    <w:rsid w:val="006F4736"/>
    <w:rsid w:val="006F76C6"/>
    <w:rsid w:val="00701BEE"/>
    <w:rsid w:val="007033D4"/>
    <w:rsid w:val="007167E7"/>
    <w:rsid w:val="007242D6"/>
    <w:rsid w:val="007268E6"/>
    <w:rsid w:val="00730568"/>
    <w:rsid w:val="00733422"/>
    <w:rsid w:val="00745FB5"/>
    <w:rsid w:val="00770BBB"/>
    <w:rsid w:val="007845AB"/>
    <w:rsid w:val="007B3B34"/>
    <w:rsid w:val="007B6645"/>
    <w:rsid w:val="007B700C"/>
    <w:rsid w:val="007B71CA"/>
    <w:rsid w:val="007C41F1"/>
    <w:rsid w:val="007D4B2C"/>
    <w:rsid w:val="007F61E5"/>
    <w:rsid w:val="00800563"/>
    <w:rsid w:val="008114B2"/>
    <w:rsid w:val="00824DEA"/>
    <w:rsid w:val="00825B0B"/>
    <w:rsid w:val="00827AC9"/>
    <w:rsid w:val="00846B63"/>
    <w:rsid w:val="00853EFE"/>
    <w:rsid w:val="00854D48"/>
    <w:rsid w:val="00860E5F"/>
    <w:rsid w:val="00881765"/>
    <w:rsid w:val="008853FB"/>
    <w:rsid w:val="008C10A3"/>
    <w:rsid w:val="008C5344"/>
    <w:rsid w:val="008C5EC1"/>
    <w:rsid w:val="008D72BE"/>
    <w:rsid w:val="008E0002"/>
    <w:rsid w:val="008F3ABA"/>
    <w:rsid w:val="008F5722"/>
    <w:rsid w:val="00920014"/>
    <w:rsid w:val="0092538E"/>
    <w:rsid w:val="00925493"/>
    <w:rsid w:val="009369C8"/>
    <w:rsid w:val="00943AFA"/>
    <w:rsid w:val="009515CC"/>
    <w:rsid w:val="009834E5"/>
    <w:rsid w:val="0098760F"/>
    <w:rsid w:val="009A6051"/>
    <w:rsid w:val="009A7FF9"/>
    <w:rsid w:val="009B1E26"/>
    <w:rsid w:val="009B5ECF"/>
    <w:rsid w:val="009C1E48"/>
    <w:rsid w:val="009D1317"/>
    <w:rsid w:val="009E130D"/>
    <w:rsid w:val="009F512E"/>
    <w:rsid w:val="00A038CE"/>
    <w:rsid w:val="00A06171"/>
    <w:rsid w:val="00A06A79"/>
    <w:rsid w:val="00A232F6"/>
    <w:rsid w:val="00A52198"/>
    <w:rsid w:val="00A672AB"/>
    <w:rsid w:val="00A817F5"/>
    <w:rsid w:val="00A81FEE"/>
    <w:rsid w:val="00A90097"/>
    <w:rsid w:val="00AA1C9B"/>
    <w:rsid w:val="00AA6945"/>
    <w:rsid w:val="00AB06E6"/>
    <w:rsid w:val="00AB6E52"/>
    <w:rsid w:val="00AC5B8C"/>
    <w:rsid w:val="00AC7D78"/>
    <w:rsid w:val="00AD0AEC"/>
    <w:rsid w:val="00AD72CD"/>
    <w:rsid w:val="00AE71B7"/>
    <w:rsid w:val="00AE79F8"/>
    <w:rsid w:val="00AF460B"/>
    <w:rsid w:val="00AF46F2"/>
    <w:rsid w:val="00AF4915"/>
    <w:rsid w:val="00AF625A"/>
    <w:rsid w:val="00B00927"/>
    <w:rsid w:val="00B17722"/>
    <w:rsid w:val="00B21640"/>
    <w:rsid w:val="00B21F49"/>
    <w:rsid w:val="00B227E4"/>
    <w:rsid w:val="00B35D5F"/>
    <w:rsid w:val="00B377D6"/>
    <w:rsid w:val="00B41EDB"/>
    <w:rsid w:val="00B5188D"/>
    <w:rsid w:val="00B553DE"/>
    <w:rsid w:val="00B66B39"/>
    <w:rsid w:val="00B86818"/>
    <w:rsid w:val="00B94C6B"/>
    <w:rsid w:val="00BA0CDF"/>
    <w:rsid w:val="00BA1FD7"/>
    <w:rsid w:val="00BC6A0C"/>
    <w:rsid w:val="00BE0737"/>
    <w:rsid w:val="00BE59AB"/>
    <w:rsid w:val="00BE65AE"/>
    <w:rsid w:val="00C02EB0"/>
    <w:rsid w:val="00C138A0"/>
    <w:rsid w:val="00C1393B"/>
    <w:rsid w:val="00C1417C"/>
    <w:rsid w:val="00C21CE2"/>
    <w:rsid w:val="00C23C5A"/>
    <w:rsid w:val="00C31A0F"/>
    <w:rsid w:val="00C454A3"/>
    <w:rsid w:val="00C54980"/>
    <w:rsid w:val="00C61BE8"/>
    <w:rsid w:val="00CA0762"/>
    <w:rsid w:val="00CA2EE5"/>
    <w:rsid w:val="00CA4034"/>
    <w:rsid w:val="00CA51DA"/>
    <w:rsid w:val="00CA7F01"/>
    <w:rsid w:val="00CC1EAA"/>
    <w:rsid w:val="00CC3FFE"/>
    <w:rsid w:val="00CC7E5A"/>
    <w:rsid w:val="00CD3784"/>
    <w:rsid w:val="00CE1910"/>
    <w:rsid w:val="00CE4E95"/>
    <w:rsid w:val="00CF5E1D"/>
    <w:rsid w:val="00CF7843"/>
    <w:rsid w:val="00D03BC8"/>
    <w:rsid w:val="00D130F0"/>
    <w:rsid w:val="00D266C2"/>
    <w:rsid w:val="00D4401B"/>
    <w:rsid w:val="00D45153"/>
    <w:rsid w:val="00D46FBE"/>
    <w:rsid w:val="00D70051"/>
    <w:rsid w:val="00D73CB2"/>
    <w:rsid w:val="00D75938"/>
    <w:rsid w:val="00D9463E"/>
    <w:rsid w:val="00DA4DBD"/>
    <w:rsid w:val="00DA74D2"/>
    <w:rsid w:val="00DE5968"/>
    <w:rsid w:val="00DE6682"/>
    <w:rsid w:val="00DF3566"/>
    <w:rsid w:val="00E05407"/>
    <w:rsid w:val="00E07F98"/>
    <w:rsid w:val="00E12D4E"/>
    <w:rsid w:val="00E151CD"/>
    <w:rsid w:val="00E17E89"/>
    <w:rsid w:val="00E22619"/>
    <w:rsid w:val="00E321BC"/>
    <w:rsid w:val="00E614CC"/>
    <w:rsid w:val="00E93CEF"/>
    <w:rsid w:val="00EB179D"/>
    <w:rsid w:val="00EB4F61"/>
    <w:rsid w:val="00EC40FE"/>
    <w:rsid w:val="00ED0A22"/>
    <w:rsid w:val="00ED6A74"/>
    <w:rsid w:val="00EF7AF2"/>
    <w:rsid w:val="00F13CAC"/>
    <w:rsid w:val="00F173EB"/>
    <w:rsid w:val="00F31280"/>
    <w:rsid w:val="00F4062A"/>
    <w:rsid w:val="00F544DE"/>
    <w:rsid w:val="00F709C0"/>
    <w:rsid w:val="00F7221D"/>
    <w:rsid w:val="00F72F7F"/>
    <w:rsid w:val="00F8294E"/>
    <w:rsid w:val="00F907CF"/>
    <w:rsid w:val="00FB1503"/>
    <w:rsid w:val="00FC163A"/>
    <w:rsid w:val="00FC3134"/>
    <w:rsid w:val="00FC4297"/>
    <w:rsid w:val="00FC64CB"/>
    <w:rsid w:val="00FD1858"/>
    <w:rsid w:val="00FF392A"/>
    <w:rsid w:val="0170036D"/>
    <w:rsid w:val="02CE68FD"/>
    <w:rsid w:val="03F05CBE"/>
    <w:rsid w:val="04956A61"/>
    <w:rsid w:val="049D6C81"/>
    <w:rsid w:val="05205D9C"/>
    <w:rsid w:val="06F537E7"/>
    <w:rsid w:val="081C4913"/>
    <w:rsid w:val="08283748"/>
    <w:rsid w:val="082B0D75"/>
    <w:rsid w:val="09035E3D"/>
    <w:rsid w:val="0CB952B6"/>
    <w:rsid w:val="0DB0141C"/>
    <w:rsid w:val="0EEE418B"/>
    <w:rsid w:val="0F8F20ED"/>
    <w:rsid w:val="0F97385D"/>
    <w:rsid w:val="102A2753"/>
    <w:rsid w:val="10382C34"/>
    <w:rsid w:val="117E6ECE"/>
    <w:rsid w:val="13181D71"/>
    <w:rsid w:val="1336140F"/>
    <w:rsid w:val="138B2047"/>
    <w:rsid w:val="141F1EA3"/>
    <w:rsid w:val="150C68CB"/>
    <w:rsid w:val="158B3E32"/>
    <w:rsid w:val="15FF517B"/>
    <w:rsid w:val="197C38F4"/>
    <w:rsid w:val="19BC47A3"/>
    <w:rsid w:val="1A96654A"/>
    <w:rsid w:val="1ACF09BB"/>
    <w:rsid w:val="1B610FF3"/>
    <w:rsid w:val="1DC37D43"/>
    <w:rsid w:val="1E42335E"/>
    <w:rsid w:val="1EF36D75"/>
    <w:rsid w:val="20084133"/>
    <w:rsid w:val="207022B5"/>
    <w:rsid w:val="209E23A2"/>
    <w:rsid w:val="210A7A37"/>
    <w:rsid w:val="21A51484"/>
    <w:rsid w:val="230A0ECC"/>
    <w:rsid w:val="26D20FF7"/>
    <w:rsid w:val="26F86CAF"/>
    <w:rsid w:val="273121C1"/>
    <w:rsid w:val="275163C0"/>
    <w:rsid w:val="28F72F97"/>
    <w:rsid w:val="298760C9"/>
    <w:rsid w:val="2B797C93"/>
    <w:rsid w:val="2BA528E8"/>
    <w:rsid w:val="2BCC0E95"/>
    <w:rsid w:val="2BF51A0F"/>
    <w:rsid w:val="2C2422F5"/>
    <w:rsid w:val="2CA95509"/>
    <w:rsid w:val="2E0221C2"/>
    <w:rsid w:val="2EA16870"/>
    <w:rsid w:val="2EDA313F"/>
    <w:rsid w:val="2F432A92"/>
    <w:rsid w:val="309A2B85"/>
    <w:rsid w:val="325B6344"/>
    <w:rsid w:val="34117602"/>
    <w:rsid w:val="348F1DA3"/>
    <w:rsid w:val="36692969"/>
    <w:rsid w:val="36D7418C"/>
    <w:rsid w:val="382A0D6E"/>
    <w:rsid w:val="383A6D0C"/>
    <w:rsid w:val="38606A27"/>
    <w:rsid w:val="38CD161E"/>
    <w:rsid w:val="38F81DD4"/>
    <w:rsid w:val="38FF40E2"/>
    <w:rsid w:val="39871519"/>
    <w:rsid w:val="398D3A08"/>
    <w:rsid w:val="3A0C2EBB"/>
    <w:rsid w:val="3A106F28"/>
    <w:rsid w:val="3A8B1791"/>
    <w:rsid w:val="3ACF2ECE"/>
    <w:rsid w:val="3B2E2848"/>
    <w:rsid w:val="3D5A23BB"/>
    <w:rsid w:val="3F797FEE"/>
    <w:rsid w:val="40AD1E82"/>
    <w:rsid w:val="40BC26A4"/>
    <w:rsid w:val="40F24318"/>
    <w:rsid w:val="41F45A1E"/>
    <w:rsid w:val="42C53860"/>
    <w:rsid w:val="43EA2878"/>
    <w:rsid w:val="44C01F13"/>
    <w:rsid w:val="44F85C75"/>
    <w:rsid w:val="45EE77A4"/>
    <w:rsid w:val="46C87FF5"/>
    <w:rsid w:val="47867568"/>
    <w:rsid w:val="48101815"/>
    <w:rsid w:val="4856518C"/>
    <w:rsid w:val="4A8C102A"/>
    <w:rsid w:val="4AF963F4"/>
    <w:rsid w:val="4B752DC9"/>
    <w:rsid w:val="4C177328"/>
    <w:rsid w:val="4C2846B6"/>
    <w:rsid w:val="4C5456DA"/>
    <w:rsid w:val="4C7B1246"/>
    <w:rsid w:val="4E2A61E7"/>
    <w:rsid w:val="4E6C1817"/>
    <w:rsid w:val="4E7C59A3"/>
    <w:rsid w:val="4F5B752C"/>
    <w:rsid w:val="4FEB1908"/>
    <w:rsid w:val="50F43794"/>
    <w:rsid w:val="510C31D4"/>
    <w:rsid w:val="51A21442"/>
    <w:rsid w:val="51E21E7B"/>
    <w:rsid w:val="52D33AB3"/>
    <w:rsid w:val="52ED2B91"/>
    <w:rsid w:val="5353545C"/>
    <w:rsid w:val="535E583D"/>
    <w:rsid w:val="54D238FF"/>
    <w:rsid w:val="54EC71F1"/>
    <w:rsid w:val="5514541E"/>
    <w:rsid w:val="5697353F"/>
    <w:rsid w:val="56D7393C"/>
    <w:rsid w:val="57A06543"/>
    <w:rsid w:val="57C87729"/>
    <w:rsid w:val="58C93758"/>
    <w:rsid w:val="59487A64"/>
    <w:rsid w:val="5AC4067B"/>
    <w:rsid w:val="5ACC12DE"/>
    <w:rsid w:val="5BCA1CC1"/>
    <w:rsid w:val="5C474675"/>
    <w:rsid w:val="5C9E573D"/>
    <w:rsid w:val="5F0D0843"/>
    <w:rsid w:val="5FE4471A"/>
    <w:rsid w:val="61355E2F"/>
    <w:rsid w:val="62456545"/>
    <w:rsid w:val="62FB09B2"/>
    <w:rsid w:val="63826C2E"/>
    <w:rsid w:val="642D103F"/>
    <w:rsid w:val="64897E3C"/>
    <w:rsid w:val="65164FFD"/>
    <w:rsid w:val="65F21726"/>
    <w:rsid w:val="67B657F0"/>
    <w:rsid w:val="68FC5484"/>
    <w:rsid w:val="6A4D4401"/>
    <w:rsid w:val="6B403D4E"/>
    <w:rsid w:val="6BFC528A"/>
    <w:rsid w:val="6DF20A14"/>
    <w:rsid w:val="6DF93CAC"/>
    <w:rsid w:val="6E3A2CD6"/>
    <w:rsid w:val="6E93082B"/>
    <w:rsid w:val="6F327E52"/>
    <w:rsid w:val="6FAD1EDF"/>
    <w:rsid w:val="70DD189A"/>
    <w:rsid w:val="71291C67"/>
    <w:rsid w:val="71C127F6"/>
    <w:rsid w:val="72DE5123"/>
    <w:rsid w:val="72DF3FAB"/>
    <w:rsid w:val="72FA2A34"/>
    <w:rsid w:val="7AAA4D40"/>
    <w:rsid w:val="7B252618"/>
    <w:rsid w:val="7D8B70AB"/>
    <w:rsid w:val="7E613579"/>
    <w:rsid w:val="7EF02F3D"/>
    <w:rsid w:val="7F3E33E7"/>
    <w:rsid w:val="7FB0104A"/>
    <w:rsid w:val="7FE71C69"/>
    <w:rsid w:val="7FFB52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jc w:val="center"/>
      <w:outlineLvl w:val="0"/>
    </w:pPr>
    <w:rPr>
      <w:rFonts w:ascii="Arial" w:hAnsi="Arial"/>
      <w:b/>
      <w:sz w:val="32"/>
    </w:rPr>
  </w:style>
  <w:style w:type="paragraph" w:styleId="3">
    <w:name w:val="Date"/>
    <w:basedOn w:val="1"/>
    <w:next w:val="1"/>
    <w:qFormat/>
    <w:uiPriority w:val="0"/>
    <w:pPr>
      <w:ind w:left="100" w:leftChars="2500"/>
    </w:pPr>
    <w:rPr>
      <w:sz w:val="24"/>
      <w:szCs w:val="24"/>
    </w:rPr>
  </w:style>
  <w:style w:type="paragraph" w:styleId="4">
    <w:name w:val="Balloon Text"/>
    <w:basedOn w:val="1"/>
    <w:semiHidden/>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unhideWhenUsed/>
    <w:qFormat/>
    <w:uiPriority w:val="99"/>
    <w:rPr>
      <w:color w:val="0000FF"/>
      <w:u w:val="single"/>
    </w:rPr>
  </w:style>
  <w:style w:type="character" w:customStyle="1" w:styleId="13">
    <w:name w:val="页眉 Char"/>
    <w:link w:val="6"/>
    <w:qFormat/>
    <w:uiPriority w:val="0"/>
    <w:rPr>
      <w:kern w:val="2"/>
      <w:sz w:val="18"/>
      <w:szCs w:val="18"/>
    </w:rPr>
  </w:style>
  <w:style w:type="character" w:customStyle="1" w:styleId="14">
    <w:name w:val="标题 Char"/>
    <w:basedOn w:val="10"/>
    <w:link w:val="2"/>
    <w:qFormat/>
    <w:uiPriority w:val="0"/>
    <w:rPr>
      <w:rFonts w:ascii="Cambria" w:hAnsi="Cambria" w:eastAsia="Cambria" w:cs="Times New Roman"/>
      <w:b/>
      <w:bCs/>
      <w:kern w:val="2"/>
      <w:sz w:val="32"/>
      <w:szCs w:val="32"/>
    </w:rPr>
  </w:style>
  <w:style w:type="character" w:customStyle="1" w:styleId="15">
    <w:name w:val="页脚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6455</Words>
  <Characters>7007</Characters>
  <Lines>52</Lines>
  <Paragraphs>14</Paragraphs>
  <TotalTime>12</TotalTime>
  <ScaleCrop>false</ScaleCrop>
  <LinksUpToDate>false</LinksUpToDate>
  <CharactersWithSpaces>7178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2020-05-12T03:14:00Z</dcterms:created>
  <dc:creator>外国语学院办公室</dc:creator>
  <cp:lastModifiedBy>姜启凡</cp:lastModifiedBy>
  <cp:lastPrinted>2020-05-11T07:17:00Z</cp:lastPrinted>
  <dcterms:modified xsi:type="dcterms:W3CDTF">2022-04-01T04:25:00Z</dcterms:modified>
  <dc:title>湖南农业大学外国语学院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71E9AC8904B84BFC99EC2D135CA631EF</vt:lpwstr>
  </property>
</Properties>
</file>