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="-388" w:tblpY="470"/>
        <w:tblW w:w="1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5" w:hRule="atLeast"/>
        </w:trPr>
        <w:tc>
          <w:tcPr>
            <w:tcW w:w="529" w:type="dxa"/>
            <w:noWrap w:val="0"/>
            <w:textDirection w:val="btLr"/>
            <w:vAlign w:val="top"/>
          </w:tcPr>
          <w:p>
            <w:pPr>
              <w:ind w:left="181"/>
              <w:rPr>
                <w:rFonts w:hint="eastAsia" w:ascii="Times" w:hAnsi="Times"/>
                <w:spacing w:val="32"/>
                <w:sz w:val="18"/>
              </w:rPr>
            </w:pPr>
            <w:r>
              <w:rPr>
                <w:rFonts w:hint="eastAsia" w:ascii="Times" w:hAnsi="Times"/>
                <w:spacing w:val="32"/>
                <w:sz w:val="18"/>
                <w:lang w:eastAsia="zh-CN"/>
              </w:rPr>
              <w:t>考生</w:t>
            </w:r>
            <w:r>
              <w:rPr>
                <w:rFonts w:hint="eastAsia" w:ascii="Times" w:hAnsi="Times"/>
                <w:spacing w:val="32"/>
                <w:sz w:val="18"/>
              </w:rPr>
              <w:t>姓名：</w:t>
            </w:r>
            <w:r>
              <w:rPr>
                <w:rFonts w:hint="eastAsia" w:ascii="Times" w:hAnsi="Times"/>
                <w:spacing w:val="32"/>
                <w:sz w:val="18"/>
                <w:u w:val="thick"/>
              </w:rPr>
              <w:t>　　　　　　　</w:t>
            </w:r>
            <w:r>
              <w:rPr>
                <w:rFonts w:hint="eastAsia" w:ascii="Times" w:hAnsi="Times"/>
                <w:spacing w:val="32"/>
                <w:sz w:val="18"/>
              </w:rPr>
              <w:t>报考专业：</w:t>
            </w:r>
            <w:r>
              <w:rPr>
                <w:rFonts w:hint="eastAsia" w:ascii="Times" w:hAnsi="Times"/>
                <w:spacing w:val="32"/>
                <w:sz w:val="18"/>
                <w:u w:val="thick"/>
              </w:rPr>
              <w:t>　　　　　　　　　　　</w:t>
            </w:r>
            <w:r>
              <w:rPr>
                <w:rFonts w:hint="eastAsia" w:ascii="Times" w:hAnsi="Times"/>
                <w:spacing w:val="32"/>
                <w:sz w:val="18"/>
              </w:rPr>
              <w:t>准考证号码：</w:t>
            </w:r>
            <w:r>
              <w:rPr>
                <w:rFonts w:hint="eastAsia" w:ascii="Times" w:hAnsi="Times"/>
                <w:spacing w:val="32"/>
                <w:sz w:val="18"/>
                <w:u w:val="thick"/>
              </w:rPr>
              <w:t>　　　　　　　　　　　　　　　</w:t>
            </w:r>
          </w:p>
        </w:tc>
        <w:tc>
          <w:tcPr>
            <w:tcW w:w="529" w:type="dxa"/>
            <w:noWrap w:val="0"/>
            <w:textDirection w:val="btLr"/>
            <w:vAlign w:val="top"/>
          </w:tcPr>
          <w:p>
            <w:pPr>
              <w:ind w:left="113" w:right="113"/>
              <w:jc w:val="center"/>
              <w:rPr>
                <w:rFonts w:hint="eastAsia" w:ascii="Times" w:hAnsi="Times"/>
                <w:spacing w:val="80"/>
                <w:sz w:val="18"/>
              </w:rPr>
            </w:pPr>
            <w:r>
              <w:rPr>
                <w:rFonts w:hint="eastAsia" w:ascii="Times" w:hAnsi="Times"/>
                <w:spacing w:val="80"/>
                <w:sz w:val="18"/>
              </w:rPr>
              <w:t>密封线内不要写题</w:t>
            </w: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XSpec="right" w:tblpY="16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833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36"/>
              </w:rPr>
            </w:pPr>
            <w:r>
              <w:rPr>
                <w:rFonts w:hint="eastAsia" w:eastAsia="黑体"/>
                <w:sz w:val="24"/>
                <w:lang/>
              </w:rPr>
              <w:pict>
                <v:shape id="_x0000_s1026" o:spid="_x0000_s1026" o:spt="75" type="#_x0000_t75" style="position:absolute;left:0pt;margin-left:116.55pt;margin-top:-41.2pt;height:40.05pt;width:166.8pt;mso-wrap-distance-bottom:0pt;mso-wrap-distance-top:0pt;z-index:251658240;mso-width-relative:page;mso-height-relative:page;" o:ole="t" filled="f" stroked="f" coordsize="21600,21600">
                  <v:path/>
                  <v:fill on="f" focussize="0,0"/>
                  <v:stroke on="f"/>
                  <v:imagedata r:id="rId8" o:title=""/>
                  <o:lock v:ext="edit" grouping="f" rotation="f" text="f" aspectratio="t"/>
                  <w10:wrap type="topAndBottom"/>
                </v:shape>
                <o:OLEObject Type="Embed" ProgID="Word.Picture.8" ShapeID="_x0000_s1026" DrawAspect="Content" ObjectID="_1468075725" r:id="rId7">
                  <o:LockedField>false</o:LockedField>
                </o:OLEObject>
              </w:pict>
            </w:r>
            <w:r>
              <w:rPr>
                <w:rFonts w:hint="eastAsia" w:ascii="黑体" w:eastAsia="黑体"/>
                <w:b/>
                <w:sz w:val="36"/>
              </w:rPr>
              <w:t>20</w:t>
            </w:r>
            <w:r>
              <w:rPr>
                <w:rFonts w:hint="eastAsia" w:ascii="黑体" w:eastAsia="黑体"/>
                <w:b/>
                <w:sz w:val="36"/>
                <w:lang w:val="en-US" w:eastAsia="zh-CN"/>
              </w:rPr>
              <w:t>2</w:t>
            </w:r>
            <w:r>
              <w:rPr>
                <w:rFonts w:hint="eastAsia" w:ascii="黑体" w:eastAsia="黑体"/>
                <w:b/>
                <w:sz w:val="36"/>
                <w:lang w:val="en-US" w:eastAsia="zh-CN"/>
              </w:rPr>
              <w:t>0</w:t>
            </w:r>
            <w:r>
              <w:rPr>
                <w:rFonts w:hint="eastAsia" w:ascii="黑体" w:eastAsia="黑体"/>
                <w:b/>
                <w:sz w:val="36"/>
              </w:rPr>
              <w:t>年全国硕士研究生招生考试初试自命题试题</w:t>
            </w:r>
          </w:p>
          <w:p>
            <w:pPr>
              <w:jc w:val="center"/>
              <w:rPr>
                <w:rFonts w:hint="default" w:ascii="黑体" w:eastAsia="黑体"/>
                <w:b/>
                <w:sz w:val="36"/>
                <w:lang w:val="en-US"/>
              </w:rPr>
            </w:pPr>
            <w:r>
              <w:rPr>
                <w:rFonts w:hint="eastAsia" w:ascii="黑体" w:eastAsia="黑体"/>
                <w:b/>
                <w:sz w:val="36"/>
              </w:rPr>
              <w:t>（</w:t>
            </w:r>
            <w:r>
              <w:rPr>
                <w:rFonts w:hint="eastAsia" w:ascii="黑体" w:eastAsia="黑体"/>
                <w:b w:val="0"/>
                <w:bCs/>
                <w:sz w:val="36"/>
                <w:u w:val="single"/>
                <w:lang w:val="en-US" w:eastAsia="zh-CN"/>
              </w:rPr>
              <w:t xml:space="preserve"> B </w:t>
            </w:r>
            <w:r>
              <w:rPr>
                <w:rFonts w:hint="eastAsia" w:ascii="黑体" w:eastAsia="黑体"/>
                <w:b/>
                <w:sz w:val="36"/>
              </w:rPr>
              <w:t>卷</w:t>
            </w:r>
            <w:r>
              <w:rPr>
                <w:rFonts w:hint="eastAsia" w:ascii="黑体" w:eastAsia="黑体"/>
                <w:b/>
                <w:sz w:val="36"/>
                <w:lang w:val="en-US" w:eastAsia="zh-CN"/>
              </w:rPr>
              <w:t>)</w:t>
            </w:r>
          </w:p>
          <w:p>
            <w:pPr>
              <w:ind w:firstLine="321" w:firstLineChars="100"/>
              <w:jc w:val="both"/>
              <w:rPr>
                <w:rFonts w:hint="eastAsia" w:ascii="黑体" w:eastAsia="黑体"/>
                <w:b/>
                <w:sz w:val="36"/>
              </w:rPr>
            </w:pPr>
            <w:r>
              <w:rPr>
                <w:rFonts w:hint="eastAsia" w:ascii="黑体" w:eastAsia="黑体"/>
                <w:b/>
                <w:sz w:val="32"/>
                <w:szCs w:val="22"/>
              </w:rPr>
              <w:t>科目代码：</w:t>
            </w:r>
            <w:r>
              <w:rPr>
                <w:rFonts w:hint="eastAsia" w:ascii="黑体" w:eastAsia="黑体"/>
                <w:b/>
                <w:sz w:val="32"/>
                <w:szCs w:val="22"/>
                <w:u w:val="single"/>
              </w:rPr>
              <w:t xml:space="preserve"> </w:t>
            </w:r>
            <w:r>
              <w:rPr>
                <w:rFonts w:hint="eastAsia" w:ascii="黑体" w:eastAsia="黑体"/>
                <w:b/>
                <w:sz w:val="32"/>
                <w:szCs w:val="22"/>
                <w:u w:val="single"/>
                <w:lang w:val="en-US" w:eastAsia="zh-CN"/>
              </w:rPr>
              <w:t>349</w:t>
            </w:r>
            <w:r>
              <w:rPr>
                <w:rFonts w:hint="eastAsia" w:ascii="黑体" w:eastAsia="黑体"/>
                <w:b/>
                <w:sz w:val="32"/>
                <w:szCs w:val="22"/>
                <w:u w:val="single"/>
              </w:rPr>
              <w:t xml:space="preserve">  </w:t>
            </w:r>
            <w:r>
              <w:rPr>
                <w:rFonts w:hint="eastAsia" w:ascii="黑体" w:eastAsia="黑体"/>
                <w:b/>
                <w:sz w:val="32"/>
                <w:szCs w:val="22"/>
              </w:rPr>
              <w:t>科目名称：</w:t>
            </w:r>
            <w:r>
              <w:rPr>
                <w:rFonts w:hint="eastAsia" w:ascii="黑体" w:eastAsia="黑体"/>
                <w:b/>
                <w:sz w:val="32"/>
                <w:szCs w:val="22"/>
                <w:u w:val="single"/>
              </w:rPr>
              <w:t xml:space="preserve">   </w:t>
            </w:r>
            <w:r>
              <w:rPr>
                <w:rFonts w:hint="eastAsia" w:ascii="黑体" w:eastAsia="黑体"/>
                <w:b/>
                <w:sz w:val="32"/>
                <w:szCs w:val="22"/>
                <w:u w:val="single"/>
                <w:lang w:eastAsia="zh-CN"/>
              </w:rPr>
              <w:t>药学综合</w:t>
            </w:r>
            <w:r>
              <w:rPr>
                <w:rFonts w:hint="eastAsia" w:ascii="黑体" w:eastAsia="黑体"/>
                <w:b/>
                <w:sz w:val="32"/>
                <w:szCs w:val="22"/>
                <w:u w:val="single"/>
              </w:rPr>
              <w:t xml:space="preserve">   </w:t>
            </w:r>
            <w:r>
              <w:rPr>
                <w:rFonts w:hint="eastAsia" w:ascii="黑体" w:eastAsia="黑体"/>
                <w:b/>
                <w:sz w:val="32"/>
                <w:szCs w:val="22"/>
              </w:rPr>
              <w:t xml:space="preserve"> </w:t>
            </w:r>
            <w:r>
              <w:rPr>
                <w:rFonts w:hint="eastAsia" w:ascii="黑体" w:eastAsia="黑体"/>
                <w:b/>
                <w:sz w:val="36"/>
              </w:rPr>
              <w:t xml:space="preserve">   </w:t>
            </w:r>
          </w:p>
          <w:p>
            <w:pPr>
              <w:jc w:val="center"/>
              <w:rPr>
                <w:rFonts w:hint="eastAsia" w:ascii="隶书" w:hAnsi="宋体" w:eastAsia="隶书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9" w:hRule="atLeast"/>
        </w:trPr>
        <w:tc>
          <w:tcPr>
            <w:tcW w:w="8337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注意：所有答题内容必须写在答题纸上，写在试题或草稿纸上的一律无效；考完后试题随答题纸交回。</w:t>
            </w:r>
          </w:p>
          <w:p>
            <w:pPr>
              <w:spacing w:line="360" w:lineRule="auto"/>
              <w:ind w:left="46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</w:t>
            </w:r>
            <w:r>
              <w:rPr>
                <w:rFonts w:hint="eastAsia" w:ascii="黑体" w:eastAsia="黑体"/>
                <w:sz w:val="24"/>
                <w:lang w:eastAsia="zh-CN"/>
              </w:rPr>
              <w:t>单项选择题</w:t>
            </w:r>
            <w:r>
              <w:rPr>
                <w:rFonts w:hint="eastAsia" w:ascii="黑体" w:eastAsia="黑体"/>
                <w:sz w:val="24"/>
              </w:rPr>
              <w:t>(共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</w:t>
            </w:r>
            <w:r>
              <w:rPr>
                <w:rFonts w:hint="eastAsia" w:ascii="黑体" w:eastAsia="黑体"/>
                <w:sz w:val="24"/>
              </w:rPr>
              <w:t xml:space="preserve"> 小题，每小题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分，共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40</w:t>
            </w:r>
            <w:r>
              <w:rPr>
                <w:rFonts w:hint="eastAsia" w:ascii="黑体" w:eastAsia="黑体"/>
                <w:sz w:val="24"/>
              </w:rPr>
              <w:t xml:space="preserve"> 分)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1、下列哪种技术与药物化学的研究无关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1"/>
                <w:szCs w:val="21"/>
              </w:rPr>
              <w:t>（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A. 计算机技术</w:t>
            </w:r>
            <w:r>
              <w:rPr>
                <w:rFonts w:hint="eastAsia" w:ascii="黑体" w:eastAsia="黑体"/>
                <w:sz w:val="21"/>
                <w:szCs w:val="21"/>
              </w:rPr>
              <w:tab/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B. 固相合成 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</w:rPr>
              <w:t>C. 超导技术</w:t>
            </w:r>
            <w:r>
              <w:rPr>
                <w:rFonts w:hint="eastAsia" w:ascii="黑体" w:eastAsia="黑体"/>
                <w:sz w:val="21"/>
                <w:szCs w:val="21"/>
              </w:rPr>
              <w:tab/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21"/>
                <w:szCs w:val="21"/>
              </w:rPr>
              <w:t>D. 基因芯片</w:t>
            </w:r>
          </w:p>
          <w:p>
            <w:pPr>
              <w:spacing w:line="360" w:lineRule="auto"/>
              <w:ind w:firstLine="420" w:firstLineChars="200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2、贝诺酯是由哪两种药物拼合而成的       </w:t>
            </w:r>
            <w:r>
              <w:rPr>
                <w:rFonts w:hint="eastAsia" w:ascii="黑体" w:eastAsia="黑体"/>
                <w:sz w:val="21"/>
                <w:szCs w:val="21"/>
              </w:rPr>
              <w:t>（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A.舒林酸和丙磺舒      B.阿司匹林和对乙酰氨基酚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C.阿司匹林和丙磺舒    D.舒林酸和对乙酰氨基酚      </w:t>
            </w:r>
          </w:p>
          <w:p>
            <w:pPr>
              <w:spacing w:line="360" w:lineRule="auto"/>
              <w:ind w:firstLine="420" w:firstLineChars="200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3、克拉霉素属于哪种结构类型的抗生素      </w:t>
            </w:r>
            <w:r>
              <w:rPr>
                <w:rFonts w:hint="eastAsia" w:ascii="黑体" w:eastAsia="黑体"/>
                <w:sz w:val="21"/>
                <w:szCs w:val="21"/>
              </w:rPr>
              <w:t>（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A. β-内酰胺类   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B. 氨基糖苷类   C.大环内酯类  D. 四环素类                </w:t>
            </w:r>
          </w:p>
          <w:p>
            <w:pPr>
              <w:spacing w:line="360" w:lineRule="auto"/>
              <w:ind w:firstLine="420" w:firstLineChars="200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4、下列哪个说法不正确                    </w:t>
            </w:r>
            <w:r>
              <w:rPr>
                <w:rFonts w:hint="eastAsia" w:ascii="黑体" w:eastAsia="黑体"/>
                <w:sz w:val="21"/>
                <w:szCs w:val="21"/>
              </w:rPr>
              <w:t>（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 具有相同基本结构的药物，它们的药理作用不一定相同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 药物的脂水分配系数是影响药物活性的因素之一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C. 适度增加中枢神经系统药物的脂水分配系数，活性会有所提高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D. 最大的脂水分配系数，可使药物有最大活性   </w:t>
            </w:r>
          </w:p>
          <w:p>
            <w:pPr>
              <w:spacing w:line="360" w:lineRule="auto"/>
              <w:ind w:firstLine="420" w:firstLineChars="200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5、关于肾上腺素受体激动剂的构效关系描述错误的是   </w:t>
            </w:r>
            <w:r>
              <w:rPr>
                <w:rFonts w:hint="eastAsia" w:ascii="黑体" w:eastAsia="黑体"/>
                <w:sz w:val="21"/>
                <w:szCs w:val="21"/>
              </w:rPr>
              <w:t>（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 具有β-苯乙胺的结构骨架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 β-碳上通常带有醇羟基，其绝对构型以S构型为活性体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C. α-碳上带有一个甲基，外周拟肾上腺素作用减弱，中枢兴奋作用增强，作用持续时间延长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D. N上取代基对α-和β-受体效应的相对强弱有显著影响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6、在碱性尿液中弱酸性药物 （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A. 解离多，再吸收少，排泄快    B. 解离少，再吸收少，排泄快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C. 解离多，再吸收多，排泄慢    D. 解离少，再吸收多，排泄慢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7、过敏性休克首选（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A．去甲肾上腺素       B．肾上腺素   C．异丙肾上腺素   D．糖皮质激素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8、局麻药的作用机制是（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A．阻止K+外流        B．阻止Na+内流       C．阻止Ca2+内流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D．阻止Cl－内流       E．降低静息膜电位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9、硝酸甘油没有下列哪一作用（    ）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A．扩张静脉       B．减少回心血量       C．增加心率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D．增加心室壁肌张力       E．降低前后负荷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10、糖皮质激素治疗慢性炎症的目的在于（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A. 抑制肉芽组织生长，防止粘连和疤痕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 促进炎症区的血管收缩，降低其通透性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C. 稳定溶酶体膜，减少蛋白水解酶的释放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D. 抑制炎症反应过程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E. 抑制花生四烯酸释放，使PG合成减少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11、下列关于剂型的叙述中，不正确的是   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A．剂型是药物供临床应用的形式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B．同一种原料药可以根据临床的需要制成不同的剂型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C．同一种药物的不同剂型其临床应用是不同的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D．同一种药物的不同剂型其临床应用是相同的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E．药物剂型必须与给药途径相适应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12、关于粉碎的叙述，不正确的是（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A．粉碎前粒度与粉碎后粒度之比称粉碎度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B．粉碎度相同的不同物料，其粒度一定相同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C．粉碎有利于提高难溶性药物的生物利用度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D．粉碎有利于混合均匀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E．药物性质不同应选择不同的粉碎方法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13、低取代羟丙基纤维素（L-HPC)发挥崩解作用的机理是（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A．遇水后形成溶蚀性孔洞       B．压片时形成的固体桥溶解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C．遇水产生气体    D．吸水膨胀    E．吸水后产生湿润热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14、最能间接反映片剂中药物在体内吸收情况的指标是（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A．含量均匀度B．崩解度C．片重差异D．硬度E．溶出度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15、关于软膏剂的特点不正确的是（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A．是具有一定稠度的外用半固体制剂    B．可发挥局部治疗作用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C．可发挥全身治疗作用  D．药物必须溶解在基质中  E．药物可以混悬在基质中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16、下列叙述与药物鉴别特点不符的是 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A.为已知药物的确证试验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B.是个别分析而不是系统试验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C.是鉴定未知药物的组成和结构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D.制剂鉴别主要考虑附加成分和各有效成分之间的相互干扰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17、 药物中的重金属杂质是指 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A.能与金属配合剂反应的金属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B.能与硫代乙酰胺或硫化钠试液作用而显色的金属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 碱金属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</w:t>
            </w:r>
            <w:bookmarkStart w:id="0" w:name="_GoBack"/>
            <w:bookmarkEnd w:id="0"/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.比重较大的金属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18、《中国药典》现行版规定，检查药物残留溶剂，应采用的办法是（    ）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A.高效液相色谱法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B.比色法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C.紫外分光光度法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D.气相色谱法      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19、对氨基水杨酸钠中的特殊杂质是（    ） 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A.氨基酚   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B.间氨基苯酚   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C.氨基化合物   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D.水杨酸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20、在弱酸性溶液中，加过量溴水，再加过量氨水，呈翠绿色的反应是（  ）  </w:t>
            </w:r>
          </w:p>
          <w:p>
            <w:pPr>
              <w:spacing w:line="360" w:lineRule="auto"/>
              <w:ind w:firstLine="420" w:firstLineChars="200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A.维他立反应  B.双缩脲反应  C.吲哚生物碱的特殊反应 D.绿奎宁反应</w:t>
            </w:r>
          </w:p>
          <w:p>
            <w:pPr>
              <w:spacing w:line="360" w:lineRule="auto"/>
              <w:ind w:firstLine="480" w:firstLineChars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二、名词解释</w:t>
            </w:r>
            <w:r>
              <w:rPr>
                <w:rFonts w:hint="eastAsia" w:ascii="黑体" w:eastAsia="黑体"/>
                <w:sz w:val="24"/>
              </w:rPr>
              <w:t>(共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8</w:t>
            </w:r>
            <w:r>
              <w:rPr>
                <w:rFonts w:hint="eastAsia" w:ascii="黑体" w:eastAsia="黑体"/>
                <w:sz w:val="24"/>
              </w:rPr>
              <w:t>小题，每小题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eastAsia="黑体"/>
                <w:sz w:val="24"/>
              </w:rPr>
              <w:t xml:space="preserve"> 分，共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40</w:t>
            </w:r>
            <w:r>
              <w:rPr>
                <w:rFonts w:hint="eastAsia" w:ascii="黑体" w:eastAsia="黑体"/>
                <w:sz w:val="24"/>
              </w:rPr>
              <w:t xml:space="preserve"> 分)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1、首关效应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2、一级消除动力学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3、致死合成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4、生物烷化剂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5、药物传递系统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6、药物制剂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7、残留溶剂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8、标准品</w:t>
            </w:r>
          </w:p>
          <w:p>
            <w:pPr>
              <w:spacing w:line="360" w:lineRule="auto"/>
              <w:ind w:left="46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三</w:t>
            </w:r>
            <w:r>
              <w:rPr>
                <w:rFonts w:hint="eastAsia" w:ascii="黑体" w:eastAsia="黑体"/>
                <w:sz w:val="24"/>
              </w:rPr>
              <w:t>、</w:t>
            </w:r>
            <w:r>
              <w:rPr>
                <w:rFonts w:hint="eastAsia" w:ascii="黑体" w:eastAsia="黑体"/>
                <w:sz w:val="24"/>
                <w:lang w:eastAsia="zh-CN"/>
              </w:rPr>
              <w:t>简答题</w:t>
            </w:r>
            <w:r>
              <w:rPr>
                <w:rFonts w:hint="eastAsia" w:ascii="黑体" w:eastAsia="黑体"/>
                <w:sz w:val="24"/>
              </w:rPr>
              <w:t>(共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8</w:t>
            </w:r>
            <w:r>
              <w:rPr>
                <w:rFonts w:hint="eastAsia" w:ascii="黑体" w:eastAsia="黑体"/>
                <w:sz w:val="24"/>
              </w:rPr>
              <w:t>小题，每小题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黑体" w:eastAsia="黑体"/>
                <w:sz w:val="24"/>
              </w:rPr>
              <w:t xml:space="preserve">  分，共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120</w:t>
            </w:r>
            <w:r>
              <w:rPr>
                <w:rFonts w:hint="eastAsia" w:ascii="黑体" w:eastAsia="黑体"/>
                <w:sz w:val="24"/>
              </w:rPr>
              <w:t xml:space="preserve">  分)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1、在药品质量标准的研究与制订过程中，鉴别实验主要采用的方法有哪些？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2、阿司匹林含量测定通常可采用哪几种方法？各有何优缺点？ 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3、应用Noyes－Whitney方程分析提高固体药物制剂溶出度的方法？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4、为什么要在维生素C注射液的处方中加入依地酸二钠、碳酸氢钠和亚硫酸氢钠？而且在制备过程中要充CO2气体？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5、吗啡能否用于治疗心源性哮喘？简述其机制。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6、简述抗心律失常药物的分类，并各举一代表药。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7、简述先导化合物的发现途径和优化方法。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8、阐述药物作用的靶标及其与药物的作用方式。</w:t>
            </w:r>
          </w:p>
          <w:p>
            <w:pPr>
              <w:spacing w:line="360" w:lineRule="auto"/>
              <w:ind w:left="465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四</w:t>
            </w:r>
            <w:r>
              <w:rPr>
                <w:rFonts w:hint="eastAsia" w:ascii="黑体" w:eastAsia="黑体"/>
                <w:sz w:val="24"/>
              </w:rPr>
              <w:t>、</w:t>
            </w:r>
            <w:r>
              <w:rPr>
                <w:rFonts w:hint="eastAsia" w:ascii="黑体" w:eastAsia="黑体"/>
                <w:sz w:val="24"/>
                <w:lang w:eastAsia="zh-CN"/>
              </w:rPr>
              <w:t>论述及案例分析题</w:t>
            </w:r>
            <w:r>
              <w:rPr>
                <w:rFonts w:hint="eastAsia" w:ascii="黑体" w:eastAsia="黑体"/>
                <w:sz w:val="24"/>
              </w:rPr>
              <w:t>(共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黑体" w:eastAsia="黑体"/>
                <w:sz w:val="24"/>
              </w:rPr>
              <w:t>小题，每小题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25</w:t>
            </w:r>
            <w:r>
              <w:rPr>
                <w:rFonts w:hint="eastAsia" w:ascii="黑体" w:eastAsia="黑体"/>
                <w:sz w:val="24"/>
              </w:rPr>
              <w:t xml:space="preserve">  分，共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100</w:t>
            </w:r>
            <w:r>
              <w:rPr>
                <w:rFonts w:hint="eastAsia" w:ascii="黑体" w:eastAsia="黑体"/>
                <w:sz w:val="24"/>
              </w:rPr>
              <w:t>分)</w:t>
            </w:r>
          </w:p>
          <w:p>
            <w:pPr>
              <w:spacing w:line="360" w:lineRule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1、患者男，46岁，因心慌、手抖、多汗、乏力、消瘦7年，加重伴咳嗽、咳痰、发热、气促3天入院。甲亢病史7年，曾给予低碘饮食，口服甲巯咪唑，症状渐缓解，1年前自行停药。入院前3天受凉后出现咳嗽、咳痰、发热、气促，咳淡粉色粘痰，心慌、手抖、多汗症状加重，测体温38.8℃，心率210次/分，血压80/50mmHg，诊断为甲亢危象。该使用哪些药物进行救治？其作用机制分别是什么？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2、天然青霉素PG结构如下，其有哪些缺点？人们如何改造的？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object>
                <v:shape id="_x0000_i1025" o:spt="75" type="#_x0000_t75" style="height:90.75pt;width:168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ChemDraw.Document.6.0" ShapeID="_x0000_i1025" DrawAspect="Content" ObjectID="_1468075726" r:id="rId9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3、双相滴定法测定对氨基水杨酸钠的基本原理是什么？此方法还可用于那些药物的含量测定？ 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4、复方乙酰水杨酸片（1000片）的处方如下：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乙酰水杨酸    268g 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对乙酰氨基酚   136g 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咖啡因      33.4g 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淀粉       266g 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淀粉浆(17%)    q.s 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滑石粉      15g 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轻质液状石蜡   0.25g 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制法：①将对乙酰氨基酚、咖啡因与约1/3淀粉混匀，制软材，制粒，干燥，整粒；②将晶型乙酰水杨酸与上述颗粒混合，加入剩余的淀粉（预干燥），混匀；③将吸附有液状石蜡的滑石粉与上述混合物混匀，过12目筛，压片即得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请根据以上信息，分析讨论：（1）说明处方中各成份的作用。  （2）参照本处方，写出湿法制粒压片的生产工艺流程。 （3）说明本处方的三主药为什么要分别制粒？ （4）说明本处方中崩解剂的加入方法。 （5）为什么滑石粉中要喷入液状石蜡？</w:t>
            </w:r>
          </w:p>
          <w:p>
            <w:pPr>
              <w:ind w:firstLine="422" w:firstLineChars="200"/>
              <w:rPr>
                <w:rFonts w:hint="eastAsia" w:ascii="楷体_GB2312" w:eastAsia="楷体_GB2312"/>
                <w:b/>
                <w:bCs/>
              </w:rPr>
            </w:pPr>
          </w:p>
        </w:tc>
      </w:tr>
    </w:tbl>
    <w:p>
      <w:pPr>
        <w:rPr>
          <w:rFonts w:hint="eastAsia" w:ascii="仿宋_GB2312" w:hAnsi="宋体" w:eastAsia="仿宋_GB2312"/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247" w:right="1287" w:bottom="1247" w:left="162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D90"/>
    <w:rsid w:val="000724E4"/>
    <w:rsid w:val="000913CA"/>
    <w:rsid w:val="000F1EB8"/>
    <w:rsid w:val="000F6133"/>
    <w:rsid w:val="0010078B"/>
    <w:rsid w:val="001B1165"/>
    <w:rsid w:val="00231B74"/>
    <w:rsid w:val="00254A50"/>
    <w:rsid w:val="002A4C90"/>
    <w:rsid w:val="002C3ACA"/>
    <w:rsid w:val="00300A62"/>
    <w:rsid w:val="004209C3"/>
    <w:rsid w:val="00426D92"/>
    <w:rsid w:val="004E4BD1"/>
    <w:rsid w:val="0055205E"/>
    <w:rsid w:val="00567CC3"/>
    <w:rsid w:val="005B3E1C"/>
    <w:rsid w:val="005E5EA6"/>
    <w:rsid w:val="005F0AEF"/>
    <w:rsid w:val="00601830"/>
    <w:rsid w:val="00637D1A"/>
    <w:rsid w:val="00693A30"/>
    <w:rsid w:val="006B7DE1"/>
    <w:rsid w:val="0081622E"/>
    <w:rsid w:val="00833B99"/>
    <w:rsid w:val="009853CA"/>
    <w:rsid w:val="009A66B7"/>
    <w:rsid w:val="00A04156"/>
    <w:rsid w:val="00A51897"/>
    <w:rsid w:val="00AD4098"/>
    <w:rsid w:val="00B96E7F"/>
    <w:rsid w:val="00C03773"/>
    <w:rsid w:val="00D22ABB"/>
    <w:rsid w:val="00F358FE"/>
    <w:rsid w:val="183D4D0D"/>
    <w:rsid w:val="45E94A23"/>
    <w:rsid w:val="48585AD1"/>
    <w:rsid w:val="4D587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2012-10-22T01:26:00Z</dcterms:created>
  <dc:creator>微软用户</dc:creator>
  <cp:lastModifiedBy>老陈</cp:lastModifiedBy>
  <cp:lastPrinted>2016-10-14T02:26:00Z</cp:lastPrinted>
  <dcterms:modified xsi:type="dcterms:W3CDTF">2019-11-28T04:08:27Z</dcterms:modified>
  <dc:title>关于做好2013年硕士研究生入学考试命题工作的通知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