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eastAsia="黑体"/>
        </w:rPr>
        <w:snapToGrid w:val="0"/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eastAsia="黑体"/>
        </w:rPr>
        <w:t xml:space="preserve">哈尔滨音乐学院硕士研究生入学考试大纲</w:t>
      </w:r>
    </w:p>
    <w:p>
      <w:pPr>
        <w:pStyle w:val="Normal"/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snapToGrid w:val="0"/>
        <w:jc w:val="center"/>
        <w:textAlignment w:val="baseline"/>
      </w:pPr>
    </w:p>
    <w:p>
      <w:pPr>
        <w:pStyle w:val="Normal"/>
        <w:rPr>
          <w:rStyle w:val="NormalCharacter"/>
          <w:b/>
          <w:szCs w:val="28"/>
          <w:sz w:val="28"/>
          <w:kern w:val="2"/>
          <w:lang w:val="en-US" w:eastAsia="zh-CN" w:bidi="ar-SA"/>
        </w:rPr>
        <w:snapToGrid w:val="0"/>
        <w:jc w:val="center"/>
        <w:textAlignment w:val="baseline"/>
      </w:pPr>
      <w:r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t xml:space="preserve">考试科目名称：艺术管理学    考试科目代码：[80</w:t>
      </w:r>
      <w:r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t xml:space="preserve">4</w:t>
      </w:r>
      <w:r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t xml:space="preserve">]</w:t>
      </w:r>
    </w:p>
    <w:p>
      <w:pPr>
        <w:pStyle w:val="Normal"/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snapToGrid w:val="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t xml:space="preserve">一、考试要求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考生应具有基本的艺术管理理论知识和技能，掌握艺术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管理学的基本原理、主要职能；</w:t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对所学知识和技能要灵活应用，能对相关资料和实际问题进行分析，并做出准确的判断，达到理论与实践相结合的目的。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试卷要求：闭卷笔试，满分150分。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napToGrid w:val="0"/>
        <w:ind w:firstLine="480" w:firstLineChars="200"/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t xml:space="preserve">二、考试内容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1、艺术管理学本体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2、艺术管理机制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3、艺术管理主体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4、艺术管理方式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5、艺术创作与制作管理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6、艺术传播管理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7、艺术营销管理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eastAsia="宋体" w:hAnsi="宋体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8、文化艺术管理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napToGrid w:val="0"/>
        <w:ind w:firstLine="480"/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t xml:space="preserve">三、试卷结构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1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、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考试时间：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180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分钟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2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、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满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    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分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：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150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3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、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题型结构：（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1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）名词解释：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（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5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题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×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6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分/题=30分）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            （2）简答题： （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3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题×10分/题=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3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0分）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            （3）论述题： （2题×2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5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分/题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=50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            （4）分析题： （1题×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40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分/题=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40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         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t xml:space="preserve">四、书目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ind w:firstLine="470" w:firstLineChars="196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1、郑新文著，《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艺术管理概论(香港地区经验及国内外案例)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》，上海音乐出版社，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2009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年8月1日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2、田川流著，《艺术管理学概论(21世纪艺术管理专业系列教材)》，东南大学出版社，2011年09月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3、谢大京著，《艺术管理》，法律出版社，2016年8月1日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4、弗朗索瓦·科尔伯特，林一等著 ，文化艺术管理营销管理学》，北京大学出版社，2018年1月1日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5、田川流著，《中国当代艺术管理思想研究》，中国文联出版社，2016年3月1日</w:t>
      </w:r>
    </w:p>
    <w:sectPr>
      <w:footerReference w:type="default" r:id="rId3"/>
      <w:vAlign w:val="top"/>
      <w:type w:val="nextPage"/>
      <w:pgSz w:h="16838" w:w="11906" w:orient="portrait"/>
      <w:pgMar w:gutter="0" w:header="851" w:top="1191" w:bottom="1191" w:footer="850" w:left="1247" w:right="1247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方正书宋简体">
    <w:altName w:val="黑体"/>
    <w:charset w:val="86"/>
    <w:family w:val="modern"/>
    <w:panose1 w:val="00000000000000000000"/>
    <w:pitch w:val="default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</w:pPr>
    <w:r>
      <w:rPr>
        <w:rStyle w:val="NormalCharacter"/>
        <w:szCs w:val="18"/>
        <w:sz w:val="18"/>
        <w:kern w:val="2"/>
        <w:lang w:val="zh-CN" w:bidi="ar-SA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settings.xml><?xml version="1.0" encoding="utf-8"?>
<w:settings xmlns:w="http://schemas.openxmlformats.org/wordprocessingml/2006/main">
  <w:zoom w:percent="15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growAutofit/>
    <w:useWord2002TableStyleRules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UserStyle_0">
    <w:name w:val="UserStyle_0"/>
    <w:next w:val="UserStyle_0"/>
    <w:link w:val="Header"/>
    <w:rPr>
      <w:szCs w:val="18"/>
      <w:sz w:val="18"/>
      <w:kern w:val="2"/>
    </w:rPr>
  </w:style>
  <w:style w:type="character" w:styleId="UserStyle_1">
    <w:name w:val="UserStyle_1"/>
    <w:next w:val="UserStyle_1"/>
    <w:link w:val="Footer"/>
    <w:rPr>
      <w:szCs w:val="18"/>
      <w:sz w:val="18"/>
      <w:kern w:val="2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eastAsia="黑体"/>
        </w:rPr>
        <w:snapToGrid w:val="0"/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eastAsia="黑体"/>
        </w:rPr>
        <w:t xml:space="preserve">哈尔滨音乐学院硕士研究生入学考试大纲</w:t>
      </w:r>
    </w:p>
    <w:p>
      <w:pPr>
        <w:pStyle w:val="Normal"/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snapToGrid w:val="0"/>
        <w:jc w:val="center"/>
        <w:textAlignment w:val="baseline"/>
      </w:pPr>
    </w:p>
    <w:p>
      <w:pPr>
        <w:pStyle w:val="Normal"/>
        <w:rPr>
          <w:rStyle w:val="NormalCharacter"/>
          <w:b/>
          <w:szCs w:val="28"/>
          <w:sz w:val="28"/>
          <w:kern w:val="2"/>
          <w:lang w:val="en-US" w:eastAsia="zh-CN" w:bidi="ar-SA"/>
        </w:rPr>
        <w:snapToGrid w:val="0"/>
        <w:jc w:val="center"/>
        <w:textAlignment w:val="baseline"/>
      </w:pPr>
      <w:r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t xml:space="preserve">考试科目名称：艺术管理学    考试科目代码：[80</w:t>
      </w:r>
      <w:r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t xml:space="preserve">4</w:t>
      </w:r>
      <w:r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t xml:space="preserve">]</w:t>
      </w:r>
    </w:p>
    <w:p>
      <w:pPr>
        <w:pStyle w:val="Normal"/>
        <w:rPr>
          <w:rStyle w:val="NormalCharacter"/>
          <w:b/>
          <w:szCs w:val="28"/>
          <w:sz w:val="28"/>
          <w:kern w:val="2"/>
          <w:lang w:val="en-US" w:eastAsia="zh-CN" w:bidi="ar-SA"/>
          <w:rFonts w:ascii="宋体" w:hAnsi="宋体"/>
        </w:rPr>
        <w:snapToGrid w:val="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t xml:space="preserve">一、考试要求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考生应具有基本的艺术管理理论知识和技能，掌握艺术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管理学的基本原理、主要职能；</w:t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对所学知识和技能要灵活应用，能对相关资料和实际问题进行分析，并做出准确的判断，达到理论与实践相结合的目的。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试卷要求：闭卷笔试，满分150分。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napToGrid w:val="0"/>
        <w:ind w:firstLine="480" w:firstLineChars="200"/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t xml:space="preserve">二、考试内容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1、艺术管理学本体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2、艺术管理机制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3、艺术管理主体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4、艺术管理方式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5、艺术创作与制作管理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6、艺术传播管理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7、艺术营销管理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eastAsia="宋体" w:hAnsi="宋体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8、文化艺术管理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napToGrid w:val="0"/>
        <w:ind w:firstLine="480"/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t xml:space="preserve">三、试卷结构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1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、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考试时间：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180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分钟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2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、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满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    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</w:rPr>
        <w:t xml:space="preserve">分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：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150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3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、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题型结构：（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1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）名词解释：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（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5</w:t>
      </w:r>
      <w:r>
        <w:rPr>
          <w:rStyle w:val="NormalCharacter"/>
          <w:szCs w:val="24"/>
          <w:sz w:val="24"/>
          <w:kern w:val="2"/>
          <w:lang w:val="en-US" w:eastAsia="zh-CN" w:bidi="ar-SA"/>
          <w:rFonts w:hAnsi="宋体"/>
          <w:color w:val="000000"/>
        </w:rPr>
        <w:t xml:space="preserve">题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×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6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分/题=30分）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            （2）简答题： （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3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题×10分/题=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3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0分）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            （3）论述题： （2题×2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5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分/题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=50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            （4）分析题： （1题×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40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分/题=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40</w:t>
      </w: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分）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napToGrid w:val="0"/>
        <w:ind w:firstLine="48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          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t xml:space="preserve">四、书目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方正书宋简体" w:eastAsia="方正书宋简体"/>
        </w:rPr>
        <w:snapToGrid w:val="0"/>
        <w:ind w:firstLine="470" w:firstLineChars="196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1、郑新文著，《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艺术管理概论(香港地区经验及国内外案例)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》，上海音乐出版社，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2009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年8月1日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2、田川流著，《艺术管理学概论(21世纪艺术管理专业系列教材)》，东南大学出版社，2011年09月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3、谢大京著。《艺术管理》。法律出版社。2016年8月1日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4、弗朗索瓦。科尔伯特，林一等著 。《文化艺术管理营销管理学》。北京大学出版社。2018年1月1日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snapToGrid w:val="0"/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color w:val="000000"/>
        </w:rPr>
        <w:t xml:space="preserve">5、田川流著。《中国当代艺术管理思想研究》。中国文联出版社。2016年3月1日</w:t>
      </w:r>
    </w:p>
    <w:sectPr>
      <w:footerReference w:type="default" r:id="rId3"/>
      <w:vAlign w:val="top"/>
      <w:type w:val="nextPage"/>
      <w:pgSz w:h="16838" w:w="11906" w:orient="portrait"/>
      <w:pgMar w:gutter="0" w:header="851" w:top="1191" w:bottom="1191" w:footer="850" w:left="1247" w:right="1247"/>
      <w:lnNumType w:countBy="0"/>
      <w:paperSrc w:first="0" w:other="0"/>
      <w:cols w:space="425" w:num="1"/>
      <w:docGrid w:charSpace="0" w:linePitch="312" w:type="lines"/>
    </w:sectPr>
  </w:body>
</w:document>
</file>

<file path=treport/opRecord.xml>p_29(0);p_30(0);p_31(0);
</file>