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GoBack"/>
      <w:r>
        <w:rPr>
          <w:rFonts w:hint="eastAsia"/>
        </w:rPr>
        <w:t>自动控制原理</w:t>
      </w:r>
    </w:p>
    <w:p>
      <w:pPr>
        <w:jc w:val="center"/>
        <w:rPr>
          <w:rFonts w:ascii="宋体" w:hAnsi="宋体"/>
          <w:sz w:val="18"/>
          <w:szCs w:val="18"/>
        </w:rPr>
      </w:pPr>
      <w:r>
        <w:rPr>
          <w:rFonts w:hint="eastAsia" w:ascii="ˎ̥" w:hAnsi="ˎ̥" w:cs="宋体"/>
          <w:b/>
          <w:bCs w:val="0"/>
          <w:color w:val="333333"/>
          <w:szCs w:val="21"/>
        </w:rPr>
        <w:t>适用</w:t>
      </w:r>
      <w:r>
        <w:rPr>
          <w:rFonts w:ascii="ˎ̥" w:hAnsi="ˎ̥" w:cs="宋体"/>
          <w:b/>
          <w:bCs w:val="0"/>
          <w:color w:val="333333"/>
          <w:szCs w:val="21"/>
        </w:rPr>
        <w:t>专业名称</w:t>
      </w:r>
      <w:r>
        <w:rPr>
          <w:rFonts w:ascii="ˎ̥" w:hAnsi="ˎ̥" w:cs="宋体"/>
          <w:b/>
          <w:bCs w:val="0"/>
          <w:color w:val="333333"/>
          <w:sz w:val="18"/>
          <w:szCs w:val="18"/>
        </w:rPr>
        <w:t>：</w:t>
      </w:r>
      <w:r>
        <w:rPr>
          <w:rFonts w:hint="eastAsia" w:ascii="ˎ̥" w:hAnsi="ˎ̥" w:cs="宋体"/>
          <w:b/>
          <w:bCs w:val="0"/>
          <w:color w:val="333333"/>
          <w:sz w:val="18"/>
          <w:szCs w:val="18"/>
        </w:rPr>
        <w:t>电机与电器、电力电子与电力传动</w:t>
      </w:r>
      <w:r>
        <w:rPr>
          <w:rFonts w:ascii="ˎ̥" w:hAnsi="ˎ̥" w:cs="宋体"/>
          <w:b/>
          <w:bCs w:val="0"/>
          <w:color w:val="333333"/>
          <w:sz w:val="18"/>
          <w:szCs w:val="18"/>
        </w:rPr>
        <w:t>、</w:t>
      </w:r>
      <w:r>
        <w:rPr>
          <w:rFonts w:hint="eastAsia" w:ascii="ˎ̥" w:hAnsi="ˎ̥" w:cs="宋体"/>
          <w:b/>
          <w:bCs w:val="0"/>
          <w:color w:val="333333"/>
          <w:sz w:val="18"/>
          <w:szCs w:val="18"/>
        </w:rPr>
        <w:t>电工理论与新技术、电气工程</w:t>
      </w:r>
    </w:p>
    <w:bookmarkEnd w:id="0"/>
    <w:p>
      <w:pPr>
        <w:pStyle w:val="3"/>
        <w:spacing w:line="240" w:lineRule="auto"/>
      </w:pPr>
      <w:r>
        <w:rPr>
          <w:rFonts w:hint="eastAsia"/>
        </w:rPr>
        <w:t>参考书目</w:t>
      </w:r>
      <w:r>
        <w:rPr>
          <w:rFonts w:hint="eastAsia"/>
          <w:lang w:eastAsia="zh-CN"/>
        </w:rPr>
        <w:t>：</w:t>
      </w:r>
    </w:p>
    <w:p>
      <w:pPr>
        <w:widowControl w:val="0"/>
        <w:wordWrap/>
        <w:adjustRightInd/>
        <w:snapToGrid/>
        <w:spacing w:before="0" w:after="0" w:line="240" w:lineRule="auto"/>
        <w:ind w:left="0" w:leftChars="0" w:right="0" w:firstLine="360" w:firstLineChars="200"/>
        <w:jc w:val="both"/>
        <w:textAlignment w:val="auto"/>
        <w:outlineLvl w:val="9"/>
        <w:rPr>
          <w:rFonts w:hint="eastAsia" w:ascii="ˎ̥" w:hAnsi="ˎ̥" w:cs="宋体"/>
          <w:b/>
          <w:bCs w:val="0"/>
          <w:color w:val="333333"/>
          <w:sz w:val="18"/>
          <w:szCs w:val="18"/>
        </w:rPr>
      </w:pPr>
      <w:r>
        <w:rPr>
          <w:rFonts w:hint="eastAsia"/>
          <w:sz w:val="18"/>
          <w:szCs w:val="18"/>
        </w:rPr>
        <w:t>《自动控制原理》 （第四版）梅晓榕 科学出版社 2017</w:t>
      </w:r>
    </w:p>
    <w:p>
      <w:pPr>
        <w:pStyle w:val="3"/>
      </w:pPr>
      <w:r>
        <w:rPr>
          <w:rFonts w:hint="eastAsia"/>
          <w:lang w:eastAsia="zh-CN"/>
        </w:rPr>
        <w:t>一、</w:t>
      </w:r>
      <w:r>
        <w:rPr>
          <w:rFonts w:hint="eastAsia"/>
        </w:rPr>
        <w:t>考试目的与要求</w:t>
      </w:r>
    </w:p>
    <w:p>
      <w:pPr>
        <w:pStyle w:val="8"/>
        <w:ind w:left="420" w:firstLine="360"/>
        <w:rPr>
          <w:sz w:val="18"/>
          <w:szCs w:val="18"/>
        </w:rPr>
      </w:pPr>
      <w:r>
        <w:rPr>
          <w:rFonts w:hint="eastAsia"/>
          <w:sz w:val="18"/>
          <w:szCs w:val="18"/>
        </w:rPr>
        <w:t>测试考生掌握系统自动控制的基本原理和基本方法，以及对自动控制系统进行分析和性能定量评价的能力。考生应掌握自动控制系统的组成原理和分析方法，初步具备进行电气工程中常见系统自动控制的能力。</w:t>
      </w:r>
    </w:p>
    <w:p>
      <w:pPr>
        <w:pStyle w:val="3"/>
      </w:pPr>
      <w:r>
        <w:rPr>
          <w:rFonts w:hint="eastAsia"/>
          <w:lang w:eastAsia="zh-CN"/>
        </w:rPr>
        <w:t>二、</w:t>
      </w:r>
      <w:r>
        <w:rPr>
          <w:rFonts w:hint="eastAsia"/>
        </w:rPr>
        <w:t>试卷结构（满分50分）</w:t>
      </w:r>
    </w:p>
    <w:p>
      <w:pPr>
        <w:pStyle w:val="8"/>
        <w:ind w:left="0" w:leftChars="0" w:firstLine="0" w:firstLineChars="0"/>
        <w:rPr>
          <w:sz w:val="18"/>
          <w:szCs w:val="18"/>
        </w:rPr>
      </w:pPr>
      <w:r>
        <w:rPr>
          <w:rFonts w:hint="eastAsia"/>
          <w:sz w:val="18"/>
          <w:szCs w:val="18"/>
        </w:rPr>
        <w:t xml:space="preserve">内容比例： </w:t>
      </w:r>
    </w:p>
    <w:p>
      <w:pPr>
        <w:pStyle w:val="8"/>
        <w:ind w:left="420" w:firstLine="0" w:firstLineChars="0"/>
        <w:rPr>
          <w:rFonts w:ascii="Times New Roman" w:hAnsi="Times New Roman"/>
          <w:sz w:val="18"/>
          <w:szCs w:val="18"/>
        </w:rPr>
      </w:pPr>
      <w:r>
        <w:rPr>
          <w:rFonts w:hint="eastAsia"/>
          <w:sz w:val="18"/>
          <w:szCs w:val="18"/>
        </w:rPr>
        <w:t xml:space="preserve">系统的数学模型 </w:t>
      </w:r>
      <w:r>
        <w:rPr>
          <w:rFonts w:ascii="Times New Roman" w:hAnsi="Times New Roman"/>
          <w:sz w:val="18"/>
          <w:szCs w:val="18"/>
        </w:rPr>
        <w:t xml:space="preserve"> </w:t>
      </w:r>
      <w:r>
        <w:rPr>
          <w:rFonts w:ascii="Times New Roman"/>
          <w:sz w:val="18"/>
          <w:szCs w:val="18"/>
        </w:rPr>
        <w:t>约占</w:t>
      </w:r>
      <w:r>
        <w:rPr>
          <w:rFonts w:ascii="Times New Roman" w:hAnsi="Times New Roman"/>
          <w:sz w:val="18"/>
          <w:szCs w:val="18"/>
        </w:rPr>
        <w:t xml:space="preserve">20% </w:t>
      </w:r>
      <w:r>
        <w:rPr>
          <w:rFonts w:ascii="Times New Roman"/>
          <w:sz w:val="18"/>
          <w:szCs w:val="18"/>
        </w:rPr>
        <w:t>分</w:t>
      </w:r>
    </w:p>
    <w:p>
      <w:pPr>
        <w:pStyle w:val="8"/>
        <w:ind w:left="420" w:firstLine="0" w:firstLineChars="0"/>
        <w:rPr>
          <w:rFonts w:ascii="Times New Roman" w:hAnsi="Times New Roman"/>
          <w:sz w:val="18"/>
          <w:szCs w:val="18"/>
        </w:rPr>
      </w:pPr>
      <w:r>
        <w:rPr>
          <w:rFonts w:ascii="Times New Roman"/>
          <w:sz w:val="18"/>
          <w:szCs w:val="18"/>
        </w:rPr>
        <w:t>控制系统的时域分析法</w:t>
      </w:r>
      <w:r>
        <w:rPr>
          <w:rFonts w:ascii="Times New Roman" w:hAnsi="Times New Roman"/>
          <w:sz w:val="18"/>
          <w:szCs w:val="18"/>
        </w:rPr>
        <w:t xml:space="preserve"> </w:t>
      </w:r>
      <w:r>
        <w:rPr>
          <w:rFonts w:ascii="Times New Roman"/>
          <w:sz w:val="18"/>
          <w:szCs w:val="18"/>
        </w:rPr>
        <w:t>约占</w:t>
      </w:r>
      <w:r>
        <w:rPr>
          <w:rFonts w:ascii="Times New Roman" w:hAnsi="Times New Roman"/>
          <w:sz w:val="18"/>
          <w:szCs w:val="18"/>
        </w:rPr>
        <w:t>3</w:t>
      </w:r>
      <w:r>
        <w:rPr>
          <w:rFonts w:hint="eastAsia" w:ascii="Times New Roman" w:hAnsi="Times New Roman"/>
          <w:sz w:val="18"/>
          <w:szCs w:val="18"/>
        </w:rPr>
        <w:t>5</w:t>
      </w:r>
      <w:r>
        <w:rPr>
          <w:rFonts w:ascii="Times New Roman" w:hAnsi="Times New Roman"/>
          <w:sz w:val="18"/>
          <w:szCs w:val="18"/>
        </w:rPr>
        <w:t xml:space="preserve">% </w:t>
      </w:r>
      <w:r>
        <w:rPr>
          <w:rFonts w:ascii="Times New Roman"/>
          <w:sz w:val="18"/>
          <w:szCs w:val="18"/>
        </w:rPr>
        <w:t>分</w:t>
      </w:r>
    </w:p>
    <w:p>
      <w:pPr>
        <w:pStyle w:val="8"/>
        <w:ind w:left="420" w:firstLine="0" w:firstLineChars="0"/>
        <w:rPr>
          <w:rFonts w:ascii="Times New Roman" w:hAnsi="Times New Roman"/>
          <w:sz w:val="18"/>
          <w:szCs w:val="18"/>
        </w:rPr>
      </w:pPr>
      <w:r>
        <w:rPr>
          <w:rFonts w:ascii="Times New Roman"/>
          <w:sz w:val="18"/>
          <w:szCs w:val="18"/>
        </w:rPr>
        <w:t>根轨迹法</w:t>
      </w:r>
      <w:r>
        <w:rPr>
          <w:rFonts w:ascii="Times New Roman" w:hAnsi="Times New Roman"/>
          <w:sz w:val="18"/>
          <w:szCs w:val="18"/>
        </w:rPr>
        <w:t xml:space="preserve">  </w:t>
      </w:r>
      <w:r>
        <w:rPr>
          <w:rFonts w:ascii="Times New Roman"/>
          <w:sz w:val="18"/>
          <w:szCs w:val="18"/>
        </w:rPr>
        <w:t>约占</w:t>
      </w:r>
      <w:r>
        <w:rPr>
          <w:rFonts w:ascii="Times New Roman" w:hAnsi="Times New Roman"/>
          <w:sz w:val="18"/>
          <w:szCs w:val="18"/>
        </w:rPr>
        <w:t xml:space="preserve">20% </w:t>
      </w:r>
      <w:r>
        <w:rPr>
          <w:rFonts w:ascii="Times New Roman"/>
          <w:sz w:val="18"/>
          <w:szCs w:val="18"/>
        </w:rPr>
        <w:t>分</w:t>
      </w:r>
    </w:p>
    <w:p>
      <w:pPr>
        <w:pStyle w:val="8"/>
        <w:ind w:left="420" w:firstLine="0" w:firstLineChars="0"/>
        <w:rPr>
          <w:rFonts w:ascii="Times New Roman" w:hAnsi="Times New Roman"/>
          <w:sz w:val="18"/>
          <w:szCs w:val="18"/>
        </w:rPr>
      </w:pPr>
      <w:r>
        <w:rPr>
          <w:rFonts w:ascii="Times New Roman"/>
          <w:sz w:val="18"/>
          <w:szCs w:val="18"/>
        </w:rPr>
        <w:t>频率特性法</w:t>
      </w:r>
      <w:r>
        <w:rPr>
          <w:rFonts w:ascii="Times New Roman" w:hAnsi="Times New Roman"/>
          <w:sz w:val="18"/>
          <w:szCs w:val="18"/>
        </w:rPr>
        <w:t xml:space="preserve"> </w:t>
      </w:r>
      <w:r>
        <w:rPr>
          <w:rFonts w:ascii="Times New Roman"/>
          <w:sz w:val="18"/>
          <w:szCs w:val="18"/>
        </w:rPr>
        <w:t>约占</w:t>
      </w:r>
      <w:r>
        <w:rPr>
          <w:rFonts w:hint="eastAsia" w:ascii="Times New Roman" w:hAnsi="Times New Roman"/>
          <w:sz w:val="18"/>
          <w:szCs w:val="18"/>
        </w:rPr>
        <w:t>25</w:t>
      </w:r>
      <w:r>
        <w:rPr>
          <w:rFonts w:ascii="Times New Roman" w:hAnsi="Times New Roman"/>
          <w:sz w:val="18"/>
          <w:szCs w:val="18"/>
        </w:rPr>
        <w:t xml:space="preserve">% </w:t>
      </w:r>
      <w:r>
        <w:rPr>
          <w:rFonts w:ascii="Times New Roman"/>
          <w:sz w:val="18"/>
          <w:szCs w:val="18"/>
        </w:rPr>
        <w:t>分</w:t>
      </w:r>
    </w:p>
    <w:p>
      <w:pPr>
        <w:autoSpaceDE w:val="0"/>
        <w:autoSpaceDN w:val="0"/>
        <w:adjustRightInd w:val="0"/>
        <w:jc w:val="left"/>
        <w:rPr>
          <w:rFonts w:ascii="宋体" w:cs="宋体"/>
          <w:kern w:val="0"/>
          <w:sz w:val="18"/>
          <w:szCs w:val="18"/>
        </w:rPr>
      </w:pPr>
      <w:r>
        <w:rPr>
          <w:rFonts w:hint="eastAsia" w:ascii="宋体" w:cs="宋体"/>
          <w:kern w:val="0"/>
          <w:sz w:val="18"/>
          <w:szCs w:val="18"/>
        </w:rPr>
        <w:t>题型比例：</w:t>
      </w:r>
    </w:p>
    <w:p>
      <w:pPr>
        <w:autoSpaceDE w:val="0"/>
        <w:autoSpaceDN w:val="0"/>
        <w:adjustRightInd w:val="0"/>
        <w:jc w:val="left"/>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1</w:t>
      </w:r>
      <w:r>
        <w:rPr>
          <w:rFonts w:hint="eastAsia" w:ascii="宋体" w:cs="宋体"/>
          <w:kern w:val="0"/>
          <w:sz w:val="18"/>
          <w:szCs w:val="18"/>
        </w:rPr>
        <w:t>．单项选择题   约占20%分</w:t>
      </w:r>
    </w:p>
    <w:p>
      <w:pPr>
        <w:autoSpaceDE w:val="0"/>
        <w:autoSpaceDN w:val="0"/>
        <w:adjustRightInd w:val="0"/>
        <w:jc w:val="left"/>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2</w:t>
      </w:r>
      <w:r>
        <w:rPr>
          <w:rFonts w:hint="eastAsia" w:ascii="宋体" w:cs="宋体"/>
          <w:kern w:val="0"/>
          <w:sz w:val="18"/>
          <w:szCs w:val="18"/>
        </w:rPr>
        <w:t>．绘图题       约占30%分</w:t>
      </w:r>
    </w:p>
    <w:p>
      <w:pPr>
        <w:autoSpaceDE w:val="0"/>
        <w:autoSpaceDN w:val="0"/>
        <w:adjustRightInd w:val="0"/>
        <w:jc w:val="left"/>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3</w:t>
      </w:r>
      <w:r>
        <w:rPr>
          <w:rFonts w:hint="eastAsia" w:ascii="宋体" w:cs="宋体"/>
          <w:kern w:val="0"/>
          <w:sz w:val="18"/>
          <w:szCs w:val="18"/>
        </w:rPr>
        <w:t>．计算题       约占40%分</w:t>
      </w:r>
    </w:p>
    <w:p>
      <w:pPr>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4</w:t>
      </w:r>
      <w:r>
        <w:rPr>
          <w:rFonts w:hint="eastAsia" w:ascii="宋体" w:cs="宋体"/>
          <w:kern w:val="0"/>
          <w:sz w:val="18"/>
          <w:szCs w:val="18"/>
        </w:rPr>
        <w:t>．分析判断题   约占10%分</w:t>
      </w:r>
    </w:p>
    <w:p>
      <w:pPr>
        <w:pStyle w:val="3"/>
      </w:pPr>
      <w:r>
        <w:rPr>
          <w:rFonts w:hint="eastAsia"/>
        </w:rPr>
        <w:t>三、考试内容与要求</w:t>
      </w:r>
    </w:p>
    <w:p>
      <w:pPr>
        <w:pStyle w:val="4"/>
        <w:spacing w:line="480" w:lineRule="auto"/>
        <w:rPr>
          <w:rFonts w:hAnsi="宋体"/>
          <w:b/>
          <w:kern w:val="2"/>
          <w:sz w:val="18"/>
          <w:szCs w:val="18"/>
          <w:lang w:val="en-US" w:eastAsia="zh-CN"/>
        </w:rPr>
      </w:pPr>
      <w:r>
        <w:rPr>
          <w:rFonts w:hint="eastAsia" w:hAnsi="宋体" w:cs="宋体"/>
          <w:b/>
          <w:sz w:val="18"/>
          <w:szCs w:val="18"/>
          <w:lang w:val="en-US" w:eastAsia="zh-CN"/>
        </w:rPr>
        <w:t xml:space="preserve">   （一）自动控制的一般概念</w:t>
      </w:r>
    </w:p>
    <w:p>
      <w:pPr>
        <w:pStyle w:val="4"/>
        <w:ind w:firstLine="360" w:firstLineChars="200"/>
        <w:rPr>
          <w:rFonts w:hAnsi="宋体"/>
          <w:kern w:val="2"/>
          <w:sz w:val="18"/>
          <w:szCs w:val="18"/>
          <w:lang w:val="en-US" w:eastAsia="zh-CN"/>
        </w:rPr>
      </w:pPr>
      <w:r>
        <w:rPr>
          <w:rFonts w:hint="eastAsia" w:hAnsi="宋体"/>
          <w:kern w:val="2"/>
          <w:sz w:val="18"/>
          <w:szCs w:val="18"/>
          <w:lang w:val="en-US" w:eastAsia="zh-CN"/>
        </w:rPr>
        <w:t xml:space="preserve"> 考试内容</w:t>
      </w:r>
      <w:r>
        <w:rPr>
          <w:rFonts w:hint="eastAsia" w:hAnsi="宋体"/>
          <w:kern w:val="2"/>
          <w:sz w:val="18"/>
          <w:szCs w:val="18"/>
          <w:lang w:val="en-US" w:eastAsia="zh-CN"/>
        </w:rPr>
        <w:cr/>
      </w:r>
      <w:r>
        <w:rPr>
          <w:rFonts w:hint="eastAsia" w:hAnsi="宋体"/>
          <w:kern w:val="2"/>
          <w:sz w:val="18"/>
          <w:szCs w:val="18"/>
          <w:lang w:val="en-US" w:eastAsia="zh-CN"/>
        </w:rPr>
        <w:t xml:space="preserve">     </w:t>
      </w:r>
      <w:r>
        <w:rPr>
          <w:rFonts w:hAnsi="宋体" w:cs="宋体"/>
          <w:sz w:val="18"/>
          <w:szCs w:val="18"/>
          <w:lang w:val="en-US" w:eastAsia="zh-CN"/>
        </w:rPr>
        <w:t>自动控制的任务</w:t>
      </w:r>
      <w:r>
        <w:rPr>
          <w:rFonts w:hint="eastAsia" w:hAnsi="宋体" w:cs="宋体"/>
          <w:sz w:val="18"/>
          <w:szCs w:val="18"/>
          <w:lang w:val="en-US" w:eastAsia="zh-CN"/>
        </w:rPr>
        <w:t>；</w:t>
      </w:r>
      <w:r>
        <w:rPr>
          <w:rFonts w:hAnsi="宋体" w:cs="宋体"/>
          <w:sz w:val="18"/>
          <w:szCs w:val="18"/>
          <w:lang w:val="en-US" w:eastAsia="zh-CN"/>
        </w:rPr>
        <w:t>基本控制方式：开环、闭环（反馈）控制</w:t>
      </w:r>
      <w:r>
        <w:rPr>
          <w:rFonts w:hint="eastAsia" w:hAnsi="宋体" w:cs="宋体"/>
          <w:sz w:val="18"/>
          <w:szCs w:val="18"/>
          <w:lang w:val="en-US" w:eastAsia="zh-CN"/>
        </w:rPr>
        <w:t>；</w:t>
      </w:r>
      <w:r>
        <w:rPr>
          <w:rFonts w:hAnsi="宋体" w:cs="宋体"/>
          <w:sz w:val="18"/>
          <w:szCs w:val="18"/>
          <w:lang w:val="en-US" w:eastAsia="zh-CN"/>
        </w:rPr>
        <w:t>自动控制的性能要求：稳、快、准</w:t>
      </w:r>
      <w:r>
        <w:rPr>
          <w:rFonts w:hint="eastAsia" w:hAnsi="宋体" w:cs="宋体"/>
          <w:sz w:val="18"/>
          <w:szCs w:val="18"/>
          <w:lang w:val="en-US" w:eastAsia="zh-CN"/>
        </w:rPr>
        <w:t>。</w:t>
      </w:r>
    </w:p>
    <w:p>
      <w:pPr>
        <w:ind w:left="420" w:leftChars="200"/>
        <w:rPr>
          <w:rFonts w:ascii="宋体" w:hAnsi="宋体"/>
          <w:sz w:val="18"/>
          <w:szCs w:val="18"/>
        </w:rPr>
      </w:pPr>
      <w:r>
        <w:rPr>
          <w:rFonts w:hint="eastAsia" w:ascii="宋体" w:hAnsi="宋体"/>
          <w:sz w:val="18"/>
          <w:szCs w:val="18"/>
        </w:rPr>
        <w:t>考试要求</w:t>
      </w:r>
    </w:p>
    <w:p>
      <w:pPr>
        <w:ind w:left="420" w:leftChars="200"/>
        <w:rPr>
          <w:rFonts w:ascii="宋体" w:hAnsi="宋体"/>
          <w:sz w:val="18"/>
          <w:szCs w:val="18"/>
        </w:rPr>
      </w:pPr>
      <w:r>
        <w:rPr>
          <w:rFonts w:hint="eastAsia" w:ascii="宋体" w:hAnsi="宋体"/>
          <w:sz w:val="18"/>
          <w:szCs w:val="18"/>
        </w:rPr>
        <w:t xml:space="preserve"> 1. </w:t>
      </w:r>
      <w:r>
        <w:rPr>
          <w:rFonts w:ascii="宋体" w:hAnsi="宋体" w:cs="Arial"/>
          <w:sz w:val="18"/>
          <w:szCs w:val="18"/>
        </w:rPr>
        <w:t>了解基本概念：控制、自动控制、自动控制系统、反馈控制等</w:t>
      </w:r>
      <w:r>
        <w:rPr>
          <w:rFonts w:hint="eastAsia" w:ascii="宋体" w:hAnsi="宋体"/>
          <w:sz w:val="18"/>
          <w:szCs w:val="18"/>
        </w:rPr>
        <w:t>。</w:t>
      </w:r>
    </w:p>
    <w:p>
      <w:pPr>
        <w:ind w:left="540"/>
        <w:rPr>
          <w:rFonts w:ascii="宋体" w:hAnsi="宋体"/>
          <w:sz w:val="18"/>
          <w:szCs w:val="18"/>
        </w:rPr>
      </w:pPr>
      <w:r>
        <w:rPr>
          <w:rFonts w:hint="eastAsia" w:ascii="宋体" w:hAnsi="宋体"/>
          <w:sz w:val="18"/>
          <w:szCs w:val="18"/>
        </w:rPr>
        <w:t>2. 掌握开环控制与闭环控制。</w:t>
      </w:r>
    </w:p>
    <w:p>
      <w:pPr>
        <w:ind w:left="540"/>
        <w:rPr>
          <w:rFonts w:ascii="宋体" w:hAnsi="宋体"/>
          <w:sz w:val="18"/>
          <w:szCs w:val="18"/>
        </w:rPr>
      </w:pPr>
      <w:r>
        <w:rPr>
          <w:rFonts w:hint="eastAsia" w:ascii="宋体" w:hAnsi="宋体"/>
          <w:sz w:val="18"/>
          <w:szCs w:val="18"/>
        </w:rPr>
        <w:t>3. 了解自动控制系统的基本类型及对自动控制系统性能的基本要求。</w:t>
      </w:r>
    </w:p>
    <w:p>
      <w:pPr>
        <w:ind w:left="540"/>
        <w:rPr>
          <w:rFonts w:ascii="宋体" w:hAnsi="宋体"/>
          <w:sz w:val="18"/>
          <w:szCs w:val="18"/>
        </w:rPr>
      </w:pPr>
    </w:p>
    <w:p>
      <w:pPr>
        <w:pStyle w:val="4"/>
        <w:rPr>
          <w:rFonts w:hAnsi="宋体"/>
          <w:b/>
          <w:kern w:val="2"/>
          <w:sz w:val="18"/>
          <w:szCs w:val="18"/>
          <w:lang w:val="en-US" w:eastAsia="zh-CN"/>
        </w:rPr>
      </w:pPr>
      <w:r>
        <w:rPr>
          <w:rFonts w:hint="eastAsia" w:hAnsi="宋体"/>
          <w:b/>
          <w:kern w:val="2"/>
          <w:sz w:val="18"/>
          <w:szCs w:val="18"/>
          <w:lang w:val="en-US" w:eastAsia="zh-CN"/>
        </w:rPr>
        <w:t xml:space="preserve">   （二）系统的数学模型</w:t>
      </w:r>
    </w:p>
    <w:p>
      <w:pPr>
        <w:ind w:firstLine="360" w:firstLineChars="200"/>
        <w:rPr>
          <w:rFonts w:ascii="宋体" w:hAnsi="宋体"/>
          <w:sz w:val="18"/>
          <w:szCs w:val="18"/>
        </w:rPr>
      </w:pPr>
      <w:r>
        <w:rPr>
          <w:rFonts w:hint="eastAsia" w:ascii="宋体" w:hAnsi="宋体"/>
          <w:sz w:val="18"/>
          <w:szCs w:val="18"/>
        </w:rPr>
        <w:t>考试内容</w:t>
      </w:r>
    </w:p>
    <w:p>
      <w:pPr>
        <w:ind w:left="420"/>
        <w:rPr>
          <w:rFonts w:ascii="宋体" w:hAnsi="宋体"/>
          <w:sz w:val="18"/>
          <w:szCs w:val="18"/>
        </w:rPr>
      </w:pPr>
      <w:r>
        <w:rPr>
          <w:rFonts w:hint="eastAsia" w:ascii="宋体" w:hAnsi="宋体"/>
          <w:sz w:val="18"/>
          <w:szCs w:val="18"/>
        </w:rPr>
        <w:t>建立控制系统的时域和频域数学模型；控制系统的结构图及其简化；梅森增益公式。</w:t>
      </w:r>
    </w:p>
    <w:p>
      <w:pPr>
        <w:pStyle w:val="4"/>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1. 建立控制系统的时域、频域数学模型。</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2. 掌握传递函数的概念、定义和性质。</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3. 掌握结构图的等效变换。</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4. 熟练应用梅森增益公式求系统的等价传递函数。</w:t>
      </w:r>
    </w:p>
    <w:p>
      <w:pPr>
        <w:pStyle w:val="4"/>
        <w:rPr>
          <w:rFonts w:hAnsi="宋体"/>
          <w:kern w:val="2"/>
          <w:sz w:val="18"/>
          <w:szCs w:val="18"/>
          <w:lang w:val="en-US" w:eastAsia="zh-CN"/>
        </w:rPr>
      </w:pPr>
    </w:p>
    <w:p>
      <w:pPr>
        <w:pStyle w:val="4"/>
        <w:rPr>
          <w:rFonts w:hAnsi="宋体"/>
          <w:b/>
          <w:kern w:val="2"/>
          <w:sz w:val="18"/>
          <w:szCs w:val="18"/>
          <w:lang w:val="en-US" w:eastAsia="zh-CN"/>
        </w:rPr>
      </w:pPr>
      <w:r>
        <w:rPr>
          <w:rFonts w:hint="eastAsia" w:hAnsi="宋体"/>
          <w:b/>
          <w:kern w:val="2"/>
          <w:sz w:val="18"/>
          <w:szCs w:val="18"/>
          <w:lang w:val="en-US" w:eastAsia="zh-CN"/>
        </w:rPr>
        <w:t xml:space="preserve">   （三）控制系统的时域分析法</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典型的输入信号；线性系统时间响应的性能指标；一阶系统在典型输入信号下的响应；二阶系统在单位阶跃函数作用下的响应及欠阻尼  二阶系统的性能指标计算；线性连续系统的稳定性概念、劳思稳定判据及稳态误差的计算。</w:t>
      </w:r>
    </w:p>
    <w:p>
      <w:pPr>
        <w:pStyle w:val="4"/>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1. 掌握一阶系统在典型输入信号下的响应。</w:t>
      </w:r>
    </w:p>
    <w:p>
      <w:pPr>
        <w:ind w:firstLine="420"/>
        <w:rPr>
          <w:rFonts w:ascii="宋体" w:hAnsi="宋体"/>
          <w:sz w:val="18"/>
          <w:szCs w:val="18"/>
        </w:rPr>
      </w:pPr>
      <w:r>
        <w:rPr>
          <w:rFonts w:hint="eastAsia" w:ascii="宋体" w:hAnsi="宋体"/>
          <w:sz w:val="18"/>
          <w:szCs w:val="18"/>
        </w:rPr>
        <w:t>2. 掌握典型二阶系统在单位阶跃函数作用下的响应。</w:t>
      </w:r>
    </w:p>
    <w:p>
      <w:pPr>
        <w:ind w:firstLine="420"/>
        <w:rPr>
          <w:rFonts w:ascii="宋体" w:hAnsi="宋体"/>
          <w:sz w:val="18"/>
          <w:szCs w:val="18"/>
        </w:rPr>
      </w:pPr>
      <w:r>
        <w:rPr>
          <w:rFonts w:hint="eastAsia" w:ascii="宋体" w:hAnsi="宋体"/>
          <w:sz w:val="18"/>
          <w:szCs w:val="18"/>
        </w:rPr>
        <w:t>3. 欠阻尼情况下典型二阶系统在单位阶跃函数作用下的性能指标计算。</w:t>
      </w:r>
    </w:p>
    <w:p>
      <w:pPr>
        <w:ind w:firstLine="420"/>
        <w:rPr>
          <w:rFonts w:ascii="宋体" w:hAnsi="宋体"/>
          <w:sz w:val="18"/>
          <w:szCs w:val="18"/>
        </w:rPr>
      </w:pPr>
      <w:r>
        <w:rPr>
          <w:rFonts w:hint="eastAsia" w:ascii="宋体" w:hAnsi="宋体"/>
          <w:sz w:val="18"/>
          <w:szCs w:val="18"/>
        </w:rPr>
        <w:t>4. 掌握稳定性的概念和劳思稳定判据。</w:t>
      </w:r>
    </w:p>
    <w:p>
      <w:pPr>
        <w:ind w:firstLine="420"/>
        <w:rPr>
          <w:rFonts w:hint="eastAsia" w:ascii="宋体" w:hAnsi="宋体"/>
          <w:sz w:val="18"/>
          <w:szCs w:val="18"/>
        </w:rPr>
      </w:pPr>
      <w:r>
        <w:rPr>
          <w:rFonts w:hint="eastAsia" w:ascii="宋体" w:hAnsi="宋体"/>
          <w:sz w:val="18"/>
          <w:szCs w:val="18"/>
        </w:rPr>
        <w:t>5. 能熟练计算线性系统的稳态误差。</w:t>
      </w:r>
    </w:p>
    <w:p>
      <w:pPr>
        <w:ind w:firstLine="420"/>
        <w:rPr>
          <w:rFonts w:hint="eastAsia" w:ascii="宋体" w:hAnsi="宋体"/>
          <w:sz w:val="18"/>
          <w:szCs w:val="18"/>
        </w:rPr>
      </w:pPr>
    </w:p>
    <w:p>
      <w:pPr>
        <w:pStyle w:val="4"/>
        <w:ind w:firstLine="266" w:firstLineChars="147"/>
        <w:rPr>
          <w:rFonts w:hAnsi="宋体"/>
          <w:b/>
          <w:kern w:val="2"/>
          <w:sz w:val="18"/>
          <w:szCs w:val="18"/>
          <w:lang w:val="en-US" w:eastAsia="zh-CN"/>
        </w:rPr>
      </w:pPr>
      <w:r>
        <w:rPr>
          <w:rFonts w:hint="eastAsia" w:hAnsi="宋体"/>
          <w:b/>
          <w:kern w:val="2"/>
          <w:sz w:val="18"/>
          <w:szCs w:val="18"/>
          <w:lang w:val="en-US" w:eastAsia="zh-CN"/>
        </w:rPr>
        <w:t>（四）根轨迹法</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根轨迹的相关概念；绘制根轨迹的基本规则；按根轨迹分析控制系统。</w:t>
      </w:r>
    </w:p>
    <w:p>
      <w:pPr>
        <w:pStyle w:val="4"/>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1. 了解根轨迹的概念。</w:t>
      </w:r>
    </w:p>
    <w:p>
      <w:pPr>
        <w:ind w:firstLine="420"/>
        <w:rPr>
          <w:rFonts w:ascii="宋体" w:hAnsi="宋体"/>
          <w:sz w:val="18"/>
          <w:szCs w:val="18"/>
        </w:rPr>
      </w:pPr>
      <w:r>
        <w:rPr>
          <w:rFonts w:hint="eastAsia" w:ascii="宋体" w:hAnsi="宋体"/>
          <w:sz w:val="18"/>
          <w:szCs w:val="18"/>
        </w:rPr>
        <w:t>2. 理解根轨迹满足的幅值条件和相角条件。</w:t>
      </w:r>
    </w:p>
    <w:p>
      <w:pPr>
        <w:ind w:firstLine="420"/>
        <w:rPr>
          <w:rFonts w:ascii="宋体" w:hAnsi="宋体"/>
          <w:sz w:val="18"/>
          <w:szCs w:val="18"/>
        </w:rPr>
      </w:pPr>
      <w:r>
        <w:rPr>
          <w:rFonts w:hint="eastAsia" w:ascii="宋体" w:hAnsi="宋体"/>
          <w:sz w:val="18"/>
          <w:szCs w:val="18"/>
        </w:rPr>
        <w:t>3. 掌握绘制根轨迹的基本规则。</w:t>
      </w:r>
    </w:p>
    <w:p>
      <w:pPr>
        <w:ind w:firstLine="420"/>
        <w:rPr>
          <w:rFonts w:hint="eastAsia" w:ascii="宋体" w:hAnsi="宋体"/>
          <w:sz w:val="18"/>
          <w:szCs w:val="18"/>
        </w:rPr>
      </w:pPr>
      <w:r>
        <w:rPr>
          <w:rFonts w:hint="eastAsia" w:ascii="宋体" w:hAnsi="宋体"/>
          <w:sz w:val="18"/>
          <w:szCs w:val="18"/>
        </w:rPr>
        <w:t>4. 能熟练绘制系统的根轨迹。</w:t>
      </w:r>
    </w:p>
    <w:p>
      <w:pPr>
        <w:ind w:firstLine="420"/>
        <w:rPr>
          <w:rFonts w:hint="eastAsia" w:ascii="宋体" w:hAnsi="宋体"/>
          <w:sz w:val="18"/>
          <w:szCs w:val="18"/>
        </w:rPr>
      </w:pPr>
      <w:r>
        <w:rPr>
          <w:rFonts w:hint="eastAsia" w:ascii="宋体" w:hAnsi="宋体"/>
          <w:sz w:val="18"/>
          <w:szCs w:val="18"/>
        </w:rPr>
        <w:t>5. 利用根轨迹分析系统的控制性能。</w:t>
      </w:r>
    </w:p>
    <w:p>
      <w:pPr>
        <w:ind w:firstLine="420"/>
        <w:rPr>
          <w:rFonts w:hint="eastAsia" w:ascii="宋体" w:hAnsi="宋体"/>
          <w:sz w:val="18"/>
          <w:szCs w:val="18"/>
        </w:rPr>
      </w:pPr>
    </w:p>
    <w:p>
      <w:pPr>
        <w:pStyle w:val="4"/>
        <w:ind w:firstLine="266" w:firstLineChars="147"/>
        <w:rPr>
          <w:rFonts w:hAnsi="宋体"/>
          <w:b/>
          <w:kern w:val="2"/>
          <w:sz w:val="18"/>
          <w:szCs w:val="18"/>
          <w:lang w:val="en-US" w:eastAsia="zh-CN"/>
        </w:rPr>
      </w:pPr>
      <w:r>
        <w:rPr>
          <w:rFonts w:hint="eastAsia" w:hAnsi="宋体"/>
          <w:b/>
          <w:kern w:val="2"/>
          <w:sz w:val="18"/>
          <w:szCs w:val="18"/>
          <w:lang w:val="en-US" w:eastAsia="zh-CN"/>
        </w:rPr>
        <w:t>（五）频率特性法</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频率特性的相关概念；频率特性的图形表示； Nyquist稳定判据；控制系统的相对稳定性；频率特性与控制系统性能的关系；控制系统设计的初步概念；PID控制器的作用。</w:t>
      </w:r>
    </w:p>
    <w:p>
      <w:pPr>
        <w:pStyle w:val="4"/>
        <w:ind w:firstLine="435"/>
        <w:rPr>
          <w:rFonts w:hAnsi="宋体"/>
          <w:kern w:val="2"/>
          <w:sz w:val="18"/>
          <w:szCs w:val="18"/>
          <w:lang w:val="en-US" w:eastAsia="zh-CN"/>
        </w:rPr>
      </w:pPr>
      <w:r>
        <w:rPr>
          <w:rFonts w:hint="eastAsia" w:hAnsi="宋体"/>
          <w:kern w:val="2"/>
          <w:sz w:val="18"/>
          <w:szCs w:val="18"/>
          <w:lang w:val="en-US" w:eastAsia="zh-CN"/>
        </w:rPr>
        <w:t>考试要求</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1. 理解频率特性的概念。</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2. 了解频率特性的图形表示方式。</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3. 掌握典型环节的极坐标图和对数频率特性图。</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4. 理解最小相位系统的含义。</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5. 能熟练绘制系统的开环对数频率特性曲线。</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6. 正确理解最小相位系统的对数幅频特性曲线和开环传递函数之间的对应关系。</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7. 理解Nyquist稳定判据并利用其分析控制系统的稳定性。</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8. 掌握衡量控制系统相对稳定性的性能指标。</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9. 理解频率特性与系统控制性能之间的关系。</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10. 了解补偿的作用及补偿的方法。</w:t>
      </w:r>
    </w:p>
    <w:p>
      <w:pPr>
        <w:widowControl w:val="0"/>
        <w:wordWrap/>
        <w:adjustRightInd/>
        <w:snapToGrid/>
        <w:spacing w:before="0" w:after="0" w:line="240" w:lineRule="auto"/>
        <w:ind w:left="0" w:leftChars="0" w:right="0" w:firstLine="360" w:firstLineChars="200"/>
        <w:jc w:val="both"/>
        <w:textAlignment w:val="auto"/>
        <w:outlineLvl w:val="9"/>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sz w:val="18"/>
          <w:szCs w:val="18"/>
        </w:rPr>
        <w:t>11. 掌握P控制器、PD控制器、I控制器、PI控制器、PID控制器的作用。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47E64"/>
    <w:rsid w:val="62C4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uiPriority w:val="0"/>
    <w:pPr>
      <w:keepNext/>
      <w:keepLines/>
      <w:spacing w:before="260" w:beforeAutospacing="0" w:after="260" w:afterAutospacing="0" w:line="413" w:lineRule="auto"/>
      <w:outlineLvl w:val="1"/>
    </w:pPr>
    <w:rPr>
      <w:rFonts w:ascii="Arial" w:hAnsi="Arial" w:eastAsia="宋体"/>
      <w:b/>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eastAsia="宋体" w:cs="Times New Roman"/>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2020-03-29T03:07:00Z</dcterms:created>
  <dc:creator>囿。</dc:creator>
  <cp:lastModifiedBy>囿。</cp:lastModifiedBy>
  <dcterms:modified xsi:type="dcterms:W3CDTF">2020-03-29T03:08:17Z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