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激光原理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ˎ̥" w:hAnsi="ˎ̥" w:cs="宋体"/>
          <w:color w:val="333333"/>
          <w:sz w:val="18"/>
          <w:szCs w:val="18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color w:val="333333"/>
          <w:sz w:val="18"/>
          <w:szCs w:val="18"/>
        </w:rPr>
        <w:t>光学工程(0803)、电子信息类（0854）光学工程方向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参考书目：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周炳琨等，激光原理（第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版），国防工业出版社，</w:t>
      </w:r>
      <w:r>
        <w:rPr>
          <w:sz w:val="18"/>
          <w:szCs w:val="18"/>
        </w:rPr>
        <w:t>2004</w:t>
      </w:r>
      <w:r>
        <w:rPr>
          <w:rFonts w:hint="eastAsia"/>
          <w:sz w:val="18"/>
          <w:szCs w:val="18"/>
        </w:rPr>
        <w:t>年</w:t>
      </w:r>
    </w:p>
    <w:p>
      <w:pPr>
        <w:pStyle w:val="3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6"/>
        <w:ind w:firstLine="36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测试考生对激光产生</w:t>
      </w:r>
      <w:r>
        <w:rPr>
          <w:sz w:val="18"/>
          <w:szCs w:val="18"/>
        </w:rPr>
        <w:t>及传输</w:t>
      </w:r>
      <w:r>
        <w:rPr>
          <w:rFonts w:hint="eastAsia"/>
          <w:sz w:val="18"/>
          <w:szCs w:val="18"/>
        </w:rPr>
        <w:t>的基本物理规律的掌握，并把激光的产生、操纵、传输的基本原理和方法应用到实际中的能力。考生应掌握激光器的基本原理、高斯光束</w:t>
      </w:r>
      <w:r>
        <w:rPr>
          <w:sz w:val="18"/>
          <w:szCs w:val="18"/>
        </w:rPr>
        <w:t>的传输</w:t>
      </w:r>
      <w:r>
        <w:rPr>
          <w:rFonts w:hint="eastAsia"/>
          <w:sz w:val="18"/>
          <w:szCs w:val="18"/>
        </w:rPr>
        <w:t>以及激光器的调制</w:t>
      </w:r>
      <w:r>
        <w:rPr>
          <w:sz w:val="18"/>
          <w:szCs w:val="18"/>
        </w:rPr>
        <w:t>技术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如模式选择、稳频、</w:t>
      </w:r>
      <w:r>
        <w:rPr>
          <w:rFonts w:hint="eastAsia"/>
          <w:sz w:val="18"/>
          <w:szCs w:val="18"/>
        </w:rPr>
        <w:t>锁模、调</w:t>
      </w:r>
      <w:r>
        <w:rPr>
          <w:sz w:val="18"/>
          <w:szCs w:val="18"/>
        </w:rPr>
        <w:t>Q</w:t>
      </w:r>
      <w:r>
        <w:rPr>
          <w:rFonts w:hint="eastAsia"/>
          <w:sz w:val="18"/>
          <w:szCs w:val="18"/>
        </w:rPr>
        <w:t>等激光技术。</w:t>
      </w:r>
    </w:p>
    <w:p>
      <w:pPr>
        <w:pStyle w:val="3"/>
        <w:bidi w:val="0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试卷结构（满分100分）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内容比例：</w:t>
      </w:r>
      <w:r>
        <w:rPr>
          <w:sz w:val="18"/>
          <w:szCs w:val="18"/>
        </w:rPr>
        <w:t xml:space="preserve"> 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/>
          <w:sz w:val="18"/>
          <w:szCs w:val="18"/>
        </w:rPr>
        <w:t>激光的基本原理</w:t>
      </w:r>
      <w:r>
        <w:rPr>
          <w:rFonts w:ascii="宋体" w:cs="宋体"/>
          <w:kern w:val="0"/>
          <w:sz w:val="18"/>
          <w:szCs w:val="18"/>
        </w:rPr>
        <w:t xml:space="preserve">         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10%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/>
          <w:sz w:val="18"/>
          <w:szCs w:val="18"/>
        </w:rPr>
        <w:t>光学谐振腔</w:t>
      </w:r>
      <w:r>
        <w:rPr>
          <w:rFonts w:ascii="宋体" w:cs="宋体"/>
          <w:kern w:val="0"/>
          <w:sz w:val="18"/>
          <w:szCs w:val="18"/>
        </w:rPr>
        <w:t xml:space="preserve">             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30%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3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/>
          <w:sz w:val="18"/>
          <w:szCs w:val="18"/>
        </w:rPr>
        <w:t>高斯光束</w:t>
      </w:r>
      <w:r>
        <w:rPr>
          <w:rFonts w:ascii="宋体" w:cs="宋体"/>
          <w:kern w:val="0"/>
          <w:sz w:val="18"/>
          <w:szCs w:val="18"/>
        </w:rPr>
        <w:t xml:space="preserve">               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4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/>
          <w:sz w:val="18"/>
          <w:szCs w:val="18"/>
        </w:rPr>
        <w:t>电磁场与物质的相互作用</w:t>
      </w:r>
      <w:r>
        <w:rPr>
          <w:rFonts w:ascii="宋体" w:cs="宋体"/>
          <w:kern w:val="0"/>
          <w:sz w:val="18"/>
          <w:szCs w:val="18"/>
        </w:rPr>
        <w:t xml:space="preserve"> 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5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/>
          <w:sz w:val="18"/>
          <w:szCs w:val="18"/>
        </w:rPr>
        <w:t>激光器特性的控制与改善</w:t>
      </w:r>
      <w:r>
        <w:rPr>
          <w:sz w:val="18"/>
          <w:szCs w:val="18"/>
        </w:rPr>
        <w:t xml:space="preserve"> </w:t>
      </w:r>
      <w:r>
        <w:rPr>
          <w:rFonts w:ascii="宋体" w:cs="宋体"/>
          <w:kern w:val="0"/>
          <w:sz w:val="18"/>
          <w:szCs w:val="18"/>
        </w:rPr>
        <w:t xml:space="preserve">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宋体" w:cs="宋体"/>
          <w:kern w:val="0"/>
          <w:sz w:val="18"/>
          <w:szCs w:val="18"/>
        </w:rPr>
        <w:t xml:space="preserve">     </w:t>
      </w: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1</w:t>
      </w:r>
      <w:r>
        <w:rPr>
          <w:rFonts w:hint="eastAsia" w:ascii="宋体" w:cs="宋体"/>
          <w:kern w:val="0"/>
          <w:sz w:val="18"/>
          <w:szCs w:val="18"/>
        </w:rPr>
        <w:t>．简答题</w:t>
      </w:r>
      <w:r>
        <w:rPr>
          <w:rFonts w:ascii="宋体" w:cs="宋体"/>
          <w:kern w:val="0"/>
          <w:sz w:val="18"/>
          <w:szCs w:val="18"/>
        </w:rPr>
        <w:t xml:space="preserve">                 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>4</w:t>
      </w:r>
      <w:r>
        <w:rPr>
          <w:rFonts w:ascii="宋体" w:cs="宋体"/>
          <w:kern w:val="0"/>
          <w:sz w:val="18"/>
          <w:szCs w:val="18"/>
        </w:rPr>
        <w:t>0%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2</w:t>
      </w:r>
      <w:r>
        <w:rPr>
          <w:rFonts w:hint="eastAsia" w:ascii="宋体" w:cs="宋体"/>
          <w:kern w:val="0"/>
          <w:sz w:val="18"/>
          <w:szCs w:val="18"/>
        </w:rPr>
        <w:t>．计算题</w:t>
      </w:r>
      <w:r>
        <w:rPr>
          <w:rFonts w:ascii="宋体" w:cs="宋体"/>
          <w:kern w:val="0"/>
          <w:sz w:val="18"/>
          <w:szCs w:val="18"/>
        </w:rPr>
        <w:t xml:space="preserve">                 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60%</w:t>
      </w:r>
    </w:p>
    <w:p>
      <w:pPr>
        <w:pStyle w:val="3"/>
        <w:rPr>
          <w:rFonts w:hint="eastAsia"/>
        </w:rPr>
      </w:pPr>
      <w:r>
        <w:rPr>
          <w:rFonts w:hint="eastAsia"/>
        </w:rPr>
        <w:t>三、考试内容与要求</w:t>
      </w:r>
    </w:p>
    <w:p>
      <w:pPr>
        <w:rPr>
          <w:rFonts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（一）激光的基本原理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1. </w:t>
      </w:r>
      <w:r>
        <w:rPr>
          <w:rFonts w:hint="eastAsia" w:ascii="Times New Roman" w:hAnsi="Times New Roman"/>
          <w:kern w:val="0"/>
          <w:sz w:val="18"/>
          <w:szCs w:val="18"/>
        </w:rPr>
        <w:t>掌握原子的自发发射、受激吸收与受激发射的</w:t>
      </w:r>
      <w:r>
        <w:rPr>
          <w:rFonts w:ascii="Times New Roman" w:hAnsi="Times New Roman"/>
          <w:kern w:val="0"/>
          <w:sz w:val="18"/>
          <w:szCs w:val="18"/>
        </w:rPr>
        <w:t>物理图景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2. </w:t>
      </w:r>
      <w:r>
        <w:rPr>
          <w:rFonts w:hint="eastAsia" w:ascii="Times New Roman" w:hAnsi="Times New Roman"/>
          <w:kern w:val="0"/>
          <w:sz w:val="18"/>
          <w:szCs w:val="18"/>
        </w:rPr>
        <w:t>了解</w:t>
      </w:r>
      <w:r>
        <w:rPr>
          <w:rFonts w:ascii="Times New Roman" w:hAnsi="Times New Roman"/>
          <w:kern w:val="0"/>
          <w:sz w:val="18"/>
          <w:szCs w:val="18"/>
        </w:rPr>
        <w:t>激光的特性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3. </w:t>
      </w:r>
      <w:r>
        <w:rPr>
          <w:rFonts w:hint="eastAsia" w:ascii="Times New Roman" w:hAnsi="Times New Roman"/>
          <w:kern w:val="0"/>
          <w:sz w:val="18"/>
          <w:szCs w:val="18"/>
        </w:rPr>
        <w:t>了解</w:t>
      </w:r>
      <w:r>
        <w:rPr>
          <w:rFonts w:ascii="Times New Roman" w:hAnsi="Times New Roman"/>
          <w:kern w:val="0"/>
          <w:sz w:val="18"/>
          <w:szCs w:val="18"/>
        </w:rPr>
        <w:t>激光产生的条件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4. </w:t>
      </w:r>
      <w:r>
        <w:rPr>
          <w:rFonts w:hint="eastAsia" w:ascii="Times New Roman" w:hAnsi="Times New Roman"/>
          <w:kern w:val="0"/>
          <w:sz w:val="18"/>
          <w:szCs w:val="18"/>
        </w:rPr>
        <w:t>了解光学谐振腔的作用</w:t>
      </w:r>
    </w:p>
    <w:p>
      <w:pPr>
        <w:rPr>
          <w:rFonts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（二）光学谐振腔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1. </w:t>
      </w:r>
      <w:r>
        <w:rPr>
          <w:rFonts w:hint="eastAsia" w:ascii="Times New Roman" w:hAnsi="Times New Roman"/>
          <w:kern w:val="0"/>
          <w:sz w:val="18"/>
          <w:szCs w:val="18"/>
        </w:rPr>
        <w:t>掌握光学</w:t>
      </w:r>
      <w:r>
        <w:rPr>
          <w:rFonts w:ascii="Times New Roman" w:hAnsi="Times New Roman"/>
          <w:kern w:val="0"/>
          <w:sz w:val="18"/>
          <w:szCs w:val="18"/>
        </w:rPr>
        <w:t>系统</w:t>
      </w:r>
      <w:r>
        <w:rPr>
          <w:rFonts w:hint="eastAsia" w:ascii="Times New Roman" w:hAnsi="Times New Roman"/>
          <w:kern w:val="0"/>
          <w:sz w:val="18"/>
          <w:szCs w:val="18"/>
        </w:rPr>
        <w:t>传输</w:t>
      </w:r>
      <w:r>
        <w:rPr>
          <w:rFonts w:ascii="Times New Roman" w:hAnsi="Times New Roman"/>
          <w:kern w:val="0"/>
          <w:sz w:val="18"/>
          <w:szCs w:val="18"/>
        </w:rPr>
        <w:t>矩阵</w:t>
      </w:r>
      <w:r>
        <w:rPr>
          <w:rFonts w:hint="eastAsia" w:ascii="Times New Roman" w:hAnsi="Times New Roman"/>
          <w:kern w:val="0"/>
          <w:sz w:val="18"/>
          <w:szCs w:val="18"/>
        </w:rPr>
        <w:t>的</w:t>
      </w:r>
      <w:r>
        <w:rPr>
          <w:rFonts w:ascii="Times New Roman" w:hAnsi="Times New Roman"/>
          <w:kern w:val="0"/>
          <w:sz w:val="18"/>
          <w:szCs w:val="18"/>
        </w:rPr>
        <w:t>计算方法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2. </w:t>
      </w:r>
      <w:r>
        <w:rPr>
          <w:rFonts w:hint="eastAsia" w:ascii="Times New Roman" w:hAnsi="Times New Roman"/>
          <w:kern w:val="0"/>
          <w:sz w:val="18"/>
          <w:szCs w:val="18"/>
        </w:rPr>
        <w:t>掌握谐振腔的稳定性条件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3. </w:t>
      </w:r>
      <w:r>
        <w:rPr>
          <w:rFonts w:hint="eastAsia" w:ascii="Times New Roman" w:hAnsi="Times New Roman"/>
          <w:kern w:val="0"/>
          <w:sz w:val="18"/>
          <w:szCs w:val="18"/>
        </w:rPr>
        <w:t>了解</w:t>
      </w:r>
      <w:r>
        <w:rPr>
          <w:rFonts w:ascii="Times New Roman" w:hAnsi="Times New Roman"/>
          <w:kern w:val="0"/>
          <w:sz w:val="18"/>
          <w:szCs w:val="18"/>
        </w:rPr>
        <w:t>自在现模式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4. </w:t>
      </w:r>
      <w:r>
        <w:rPr>
          <w:rFonts w:hint="eastAsia" w:ascii="Times New Roman" w:hAnsi="Times New Roman"/>
          <w:kern w:val="0"/>
          <w:sz w:val="18"/>
          <w:szCs w:val="18"/>
        </w:rPr>
        <w:t>掌握</w:t>
      </w:r>
      <w:r>
        <w:rPr>
          <w:rFonts w:ascii="Times New Roman" w:hAnsi="Times New Roman"/>
          <w:kern w:val="0"/>
          <w:sz w:val="18"/>
          <w:szCs w:val="18"/>
        </w:rPr>
        <w:t>基模高斯光束的特征</w:t>
      </w:r>
      <w:r>
        <w:rPr>
          <w:rFonts w:hint="eastAsia" w:ascii="Times New Roman" w:hAnsi="Times New Roman"/>
          <w:kern w:val="0"/>
          <w:sz w:val="18"/>
          <w:szCs w:val="18"/>
        </w:rPr>
        <w:t>，</w:t>
      </w:r>
      <w:r>
        <w:rPr>
          <w:rFonts w:ascii="Times New Roman" w:hAnsi="Times New Roman"/>
          <w:kern w:val="0"/>
          <w:sz w:val="18"/>
          <w:szCs w:val="18"/>
        </w:rPr>
        <w:t>如光斑半径</w:t>
      </w:r>
      <w:r>
        <w:rPr>
          <w:rFonts w:hint="eastAsia" w:ascii="Times New Roman" w:hAnsi="Times New Roman"/>
          <w:kern w:val="0"/>
          <w:sz w:val="18"/>
          <w:szCs w:val="18"/>
        </w:rPr>
        <w:t>、</w:t>
      </w:r>
      <w:r>
        <w:rPr>
          <w:rFonts w:ascii="Times New Roman" w:hAnsi="Times New Roman"/>
          <w:kern w:val="0"/>
          <w:sz w:val="18"/>
          <w:szCs w:val="18"/>
        </w:rPr>
        <w:t>等像面、远场发散角等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5. </w:t>
      </w:r>
      <w:r>
        <w:rPr>
          <w:rFonts w:hint="eastAsia" w:ascii="Times New Roman" w:hAnsi="Times New Roman"/>
          <w:kern w:val="0"/>
          <w:sz w:val="18"/>
          <w:szCs w:val="18"/>
        </w:rPr>
        <w:t>了解</w:t>
      </w:r>
      <w:r>
        <w:rPr>
          <w:rFonts w:ascii="Times New Roman" w:hAnsi="Times New Roman"/>
          <w:kern w:val="0"/>
          <w:sz w:val="18"/>
          <w:szCs w:val="18"/>
        </w:rPr>
        <w:t>高阶模式的光斑特征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6. </w:t>
      </w:r>
      <w:r>
        <w:rPr>
          <w:rFonts w:hint="eastAsia" w:ascii="Times New Roman" w:hAnsi="Times New Roman"/>
          <w:kern w:val="0"/>
          <w:sz w:val="18"/>
          <w:szCs w:val="18"/>
        </w:rPr>
        <w:t>掌握由</w:t>
      </w:r>
      <w:r>
        <w:rPr>
          <w:rFonts w:ascii="Times New Roman" w:hAnsi="Times New Roman"/>
          <w:kern w:val="0"/>
          <w:sz w:val="18"/>
          <w:szCs w:val="18"/>
        </w:rPr>
        <w:t>稳定腔求解其等价共焦腔的方法</w:t>
      </w:r>
    </w:p>
    <w:p>
      <w:pPr>
        <w:rPr>
          <w:rFonts w:hint="eastAsia"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（三）高斯光束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1. </w:t>
      </w:r>
      <w:r>
        <w:rPr>
          <w:rFonts w:hint="eastAsia" w:ascii="Times New Roman" w:hAnsi="Times New Roman"/>
          <w:kern w:val="0"/>
          <w:sz w:val="18"/>
          <w:szCs w:val="18"/>
        </w:rPr>
        <w:t>了解高斯</w:t>
      </w:r>
      <w:r>
        <w:rPr>
          <w:rFonts w:ascii="Times New Roman" w:hAnsi="Times New Roman"/>
          <w:kern w:val="0"/>
          <w:sz w:val="18"/>
          <w:szCs w:val="18"/>
        </w:rPr>
        <w:t>光束的特征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2. </w:t>
      </w:r>
      <w:r>
        <w:rPr>
          <w:rFonts w:hint="eastAsia" w:ascii="Times New Roman" w:hAnsi="Times New Roman"/>
          <w:kern w:val="0"/>
          <w:sz w:val="18"/>
          <w:szCs w:val="18"/>
        </w:rPr>
        <w:t>掌握利用</w:t>
      </w:r>
      <w:r>
        <w:rPr>
          <w:rFonts w:ascii="Times New Roman" w:hAnsi="Times New Roman"/>
          <w:kern w:val="0"/>
          <w:sz w:val="18"/>
          <w:szCs w:val="18"/>
        </w:rPr>
        <w:t>q参数处理高斯光束传输的方法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3. </w:t>
      </w:r>
      <w:r>
        <w:rPr>
          <w:rFonts w:hint="eastAsia" w:ascii="Times New Roman" w:hAnsi="Times New Roman"/>
          <w:kern w:val="0"/>
          <w:sz w:val="18"/>
          <w:szCs w:val="18"/>
        </w:rPr>
        <w:t>了解</w:t>
      </w:r>
      <w:r>
        <w:rPr>
          <w:rFonts w:ascii="Times New Roman" w:hAnsi="Times New Roman"/>
          <w:kern w:val="0"/>
          <w:sz w:val="18"/>
          <w:szCs w:val="18"/>
        </w:rPr>
        <w:t>高斯光束聚焦</w:t>
      </w:r>
      <w:r>
        <w:rPr>
          <w:rFonts w:hint="eastAsia" w:ascii="Times New Roman" w:hAnsi="Times New Roman"/>
          <w:kern w:val="0"/>
          <w:sz w:val="18"/>
          <w:szCs w:val="18"/>
        </w:rPr>
        <w:t>时</w:t>
      </w:r>
      <w:r>
        <w:rPr>
          <w:rFonts w:ascii="Times New Roman" w:hAnsi="Times New Roman"/>
          <w:kern w:val="0"/>
          <w:sz w:val="18"/>
          <w:szCs w:val="18"/>
        </w:rPr>
        <w:t>的光束特征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4</w:t>
      </w:r>
      <w:r>
        <w:rPr>
          <w:rFonts w:ascii="Times New Roman" w:hAnsi="Times New Roman"/>
          <w:kern w:val="0"/>
          <w:sz w:val="18"/>
          <w:szCs w:val="18"/>
        </w:rPr>
        <w:t xml:space="preserve">. </w:t>
      </w:r>
      <w:r>
        <w:rPr>
          <w:rFonts w:hint="eastAsia" w:ascii="Times New Roman" w:hAnsi="Times New Roman"/>
          <w:kern w:val="0"/>
          <w:sz w:val="18"/>
          <w:szCs w:val="18"/>
        </w:rPr>
        <w:t>了解</w:t>
      </w:r>
      <w:r>
        <w:rPr>
          <w:rFonts w:ascii="Times New Roman" w:hAnsi="Times New Roman"/>
          <w:kern w:val="0"/>
          <w:sz w:val="18"/>
          <w:szCs w:val="18"/>
        </w:rPr>
        <w:t>高斯</w:t>
      </w:r>
      <w:r>
        <w:rPr>
          <w:rFonts w:hint="eastAsia" w:ascii="Times New Roman" w:hAnsi="Times New Roman"/>
          <w:kern w:val="0"/>
          <w:sz w:val="18"/>
          <w:szCs w:val="18"/>
        </w:rPr>
        <w:t>光束</w:t>
      </w:r>
      <w:r>
        <w:rPr>
          <w:rFonts w:ascii="Times New Roman" w:hAnsi="Times New Roman"/>
          <w:kern w:val="0"/>
          <w:sz w:val="18"/>
          <w:szCs w:val="18"/>
        </w:rPr>
        <w:t>准直</w:t>
      </w:r>
      <w:r>
        <w:rPr>
          <w:rFonts w:hint="eastAsia" w:ascii="Times New Roman" w:hAnsi="Times New Roman"/>
          <w:kern w:val="0"/>
          <w:sz w:val="18"/>
          <w:szCs w:val="18"/>
        </w:rPr>
        <w:t>时</w:t>
      </w:r>
      <w:r>
        <w:rPr>
          <w:rFonts w:ascii="Times New Roman" w:hAnsi="Times New Roman"/>
          <w:kern w:val="0"/>
          <w:sz w:val="18"/>
          <w:szCs w:val="18"/>
        </w:rPr>
        <w:t>的光束特征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5</w:t>
      </w:r>
      <w:r>
        <w:rPr>
          <w:rFonts w:ascii="Times New Roman" w:hAnsi="Times New Roman"/>
          <w:kern w:val="0"/>
          <w:sz w:val="18"/>
          <w:szCs w:val="18"/>
        </w:rPr>
        <w:t>. 了解高斯光束的自在现变换条件</w:t>
      </w:r>
    </w:p>
    <w:p>
      <w:pPr>
        <w:rPr>
          <w:rFonts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（四）电磁场与物质的相互作用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1. </w:t>
      </w:r>
      <w:r>
        <w:rPr>
          <w:rFonts w:hint="eastAsia" w:ascii="Times New Roman" w:hAnsi="Times New Roman"/>
          <w:kern w:val="0"/>
          <w:sz w:val="18"/>
          <w:szCs w:val="18"/>
        </w:rPr>
        <w:t>了解</w:t>
      </w:r>
      <w:r>
        <w:rPr>
          <w:rFonts w:ascii="Times New Roman" w:hAnsi="Times New Roman"/>
          <w:kern w:val="0"/>
          <w:sz w:val="18"/>
          <w:szCs w:val="18"/>
        </w:rPr>
        <w:t>线型函数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2</w:t>
      </w:r>
      <w:r>
        <w:rPr>
          <w:rFonts w:ascii="Times New Roman" w:hAnsi="Times New Roman"/>
          <w:kern w:val="0"/>
          <w:sz w:val="18"/>
          <w:szCs w:val="18"/>
        </w:rPr>
        <w:t xml:space="preserve">. </w:t>
      </w:r>
      <w:r>
        <w:rPr>
          <w:rFonts w:hint="eastAsia" w:ascii="Times New Roman" w:hAnsi="Times New Roman"/>
          <w:kern w:val="0"/>
          <w:sz w:val="18"/>
          <w:szCs w:val="18"/>
        </w:rPr>
        <w:t>了解</w:t>
      </w:r>
      <w:r>
        <w:rPr>
          <w:rFonts w:ascii="Times New Roman" w:hAnsi="Times New Roman"/>
          <w:kern w:val="0"/>
          <w:sz w:val="18"/>
          <w:szCs w:val="18"/>
        </w:rPr>
        <w:t>均匀加宽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3. </w:t>
      </w:r>
      <w:r>
        <w:rPr>
          <w:rFonts w:hint="eastAsia" w:ascii="Times New Roman" w:hAnsi="Times New Roman"/>
          <w:kern w:val="0"/>
          <w:sz w:val="18"/>
          <w:szCs w:val="18"/>
        </w:rPr>
        <w:t>掌握</w:t>
      </w:r>
      <w:r>
        <w:rPr>
          <w:rFonts w:ascii="Times New Roman" w:hAnsi="Times New Roman"/>
          <w:kern w:val="0"/>
          <w:sz w:val="18"/>
          <w:szCs w:val="18"/>
        </w:rPr>
        <w:t>自然加宽的机理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4. </w:t>
      </w:r>
      <w:r>
        <w:rPr>
          <w:rFonts w:hint="eastAsia" w:ascii="Times New Roman" w:hAnsi="Times New Roman"/>
          <w:kern w:val="0"/>
          <w:sz w:val="18"/>
          <w:szCs w:val="18"/>
        </w:rPr>
        <w:t>了解</w:t>
      </w:r>
      <w:r>
        <w:rPr>
          <w:rFonts w:ascii="Times New Roman" w:hAnsi="Times New Roman"/>
          <w:kern w:val="0"/>
          <w:sz w:val="18"/>
          <w:szCs w:val="18"/>
        </w:rPr>
        <w:t>碰撞加宽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5</w:t>
      </w:r>
      <w:r>
        <w:rPr>
          <w:rFonts w:ascii="Times New Roman" w:hAnsi="Times New Roman"/>
          <w:kern w:val="0"/>
          <w:sz w:val="18"/>
          <w:szCs w:val="18"/>
        </w:rPr>
        <w:t xml:space="preserve">. </w:t>
      </w:r>
      <w:r>
        <w:rPr>
          <w:rFonts w:hint="eastAsia" w:ascii="Times New Roman" w:hAnsi="Times New Roman"/>
          <w:kern w:val="0"/>
          <w:sz w:val="18"/>
          <w:szCs w:val="18"/>
        </w:rPr>
        <w:t>了解</w:t>
      </w:r>
      <w:r>
        <w:rPr>
          <w:rFonts w:ascii="Times New Roman" w:hAnsi="Times New Roman"/>
          <w:kern w:val="0"/>
          <w:sz w:val="18"/>
          <w:szCs w:val="18"/>
        </w:rPr>
        <w:t>非均匀加宽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6</w:t>
      </w:r>
      <w:r>
        <w:rPr>
          <w:rFonts w:ascii="Times New Roman" w:hAnsi="Times New Roman"/>
          <w:kern w:val="0"/>
          <w:sz w:val="18"/>
          <w:szCs w:val="18"/>
        </w:rPr>
        <w:t xml:space="preserve">. </w:t>
      </w:r>
      <w:r>
        <w:rPr>
          <w:rFonts w:hint="eastAsia" w:ascii="Times New Roman" w:hAnsi="Times New Roman"/>
          <w:kern w:val="0"/>
          <w:sz w:val="18"/>
          <w:szCs w:val="18"/>
        </w:rPr>
        <w:t>掌握</w:t>
      </w:r>
      <w:r>
        <w:rPr>
          <w:rFonts w:ascii="Times New Roman" w:hAnsi="Times New Roman"/>
          <w:kern w:val="0"/>
          <w:sz w:val="18"/>
          <w:szCs w:val="18"/>
        </w:rPr>
        <w:t>多普勒加宽机理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7</w:t>
      </w:r>
      <w:r>
        <w:rPr>
          <w:rFonts w:ascii="Times New Roman" w:hAnsi="Times New Roman"/>
          <w:kern w:val="0"/>
          <w:sz w:val="18"/>
          <w:szCs w:val="18"/>
        </w:rPr>
        <w:t xml:space="preserve">. </w:t>
      </w:r>
      <w:r>
        <w:rPr>
          <w:rFonts w:hint="eastAsia" w:ascii="Times New Roman" w:hAnsi="Times New Roman"/>
          <w:kern w:val="0"/>
          <w:sz w:val="18"/>
          <w:szCs w:val="18"/>
        </w:rPr>
        <w:t>掌握</w:t>
      </w:r>
      <w:r>
        <w:rPr>
          <w:rFonts w:ascii="Times New Roman" w:hAnsi="Times New Roman"/>
          <w:kern w:val="0"/>
          <w:sz w:val="18"/>
          <w:szCs w:val="18"/>
        </w:rPr>
        <w:t>三、四能级系统的速率方程及能级跃迁</w:t>
      </w:r>
    </w:p>
    <w:p>
      <w:pPr>
        <w:rPr>
          <w:rFonts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（五）激光器特性的控制与改善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1. </w:t>
      </w:r>
      <w:r>
        <w:rPr>
          <w:rFonts w:hint="eastAsia" w:ascii="Times New Roman" w:hAnsi="Times New Roman"/>
          <w:kern w:val="0"/>
          <w:sz w:val="18"/>
          <w:szCs w:val="18"/>
        </w:rPr>
        <w:t>掌握横模的选择目的、</w:t>
      </w:r>
      <w:r>
        <w:rPr>
          <w:rFonts w:ascii="Times New Roman" w:hAnsi="Times New Roman"/>
          <w:kern w:val="0"/>
          <w:sz w:val="18"/>
          <w:szCs w:val="18"/>
        </w:rPr>
        <w:t>机理及</w:t>
      </w:r>
      <w:r>
        <w:rPr>
          <w:rFonts w:hint="eastAsia" w:ascii="Times New Roman" w:hAnsi="Times New Roman"/>
          <w:kern w:val="0"/>
          <w:sz w:val="18"/>
          <w:szCs w:val="18"/>
        </w:rPr>
        <w:t>方法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2</w:t>
      </w:r>
      <w:r>
        <w:rPr>
          <w:rFonts w:ascii="Times New Roman" w:hAnsi="Times New Roman"/>
          <w:kern w:val="0"/>
          <w:sz w:val="18"/>
          <w:szCs w:val="18"/>
        </w:rPr>
        <w:t xml:space="preserve">. </w:t>
      </w:r>
      <w:r>
        <w:rPr>
          <w:rFonts w:hint="eastAsia" w:ascii="Times New Roman" w:hAnsi="Times New Roman"/>
          <w:kern w:val="0"/>
          <w:sz w:val="18"/>
          <w:szCs w:val="18"/>
        </w:rPr>
        <w:t>掌握纵模的选择目的、</w:t>
      </w:r>
      <w:r>
        <w:rPr>
          <w:rFonts w:ascii="Times New Roman" w:hAnsi="Times New Roman"/>
          <w:kern w:val="0"/>
          <w:sz w:val="18"/>
          <w:szCs w:val="18"/>
        </w:rPr>
        <w:t>机理及</w:t>
      </w:r>
      <w:r>
        <w:rPr>
          <w:rFonts w:hint="eastAsia" w:ascii="Times New Roman" w:hAnsi="Times New Roman"/>
          <w:kern w:val="0"/>
          <w:sz w:val="18"/>
          <w:szCs w:val="18"/>
        </w:rPr>
        <w:t>方法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3. </w:t>
      </w:r>
      <w:r>
        <w:rPr>
          <w:rFonts w:hint="eastAsia" w:ascii="Times New Roman" w:hAnsi="Times New Roman"/>
          <w:kern w:val="0"/>
          <w:sz w:val="18"/>
          <w:szCs w:val="18"/>
        </w:rPr>
        <w:t>掌握频率稳定的基本概念</w:t>
      </w:r>
    </w:p>
    <w:p>
      <w:pPr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4. </w:t>
      </w:r>
      <w:r>
        <w:rPr>
          <w:rFonts w:hint="eastAsia" w:ascii="Times New Roman" w:hAnsi="Times New Roman"/>
          <w:kern w:val="0"/>
          <w:sz w:val="18"/>
          <w:szCs w:val="18"/>
        </w:rPr>
        <w:t>掌握调</w:t>
      </w:r>
      <w:r>
        <w:rPr>
          <w:rFonts w:ascii="Times New Roman" w:hAnsi="Times New Roman"/>
          <w:kern w:val="0"/>
          <w:sz w:val="18"/>
          <w:szCs w:val="18"/>
        </w:rPr>
        <w:t>Q</w:t>
      </w:r>
      <w:r>
        <w:rPr>
          <w:rFonts w:hint="eastAsia" w:ascii="Times New Roman" w:hAnsi="Times New Roman"/>
          <w:kern w:val="0"/>
          <w:sz w:val="18"/>
          <w:szCs w:val="18"/>
        </w:rPr>
        <w:t>激光器的基本原理和主要调</w:t>
      </w:r>
      <w:r>
        <w:rPr>
          <w:rFonts w:ascii="Times New Roman" w:hAnsi="Times New Roman"/>
          <w:kern w:val="0"/>
          <w:sz w:val="18"/>
          <w:szCs w:val="18"/>
        </w:rPr>
        <w:t>Q</w:t>
      </w:r>
      <w:r>
        <w:rPr>
          <w:rFonts w:hint="eastAsia" w:ascii="Times New Roman" w:hAnsi="Times New Roman"/>
          <w:kern w:val="0"/>
          <w:sz w:val="18"/>
          <w:szCs w:val="18"/>
        </w:rPr>
        <w:t>方法</w:t>
      </w:r>
    </w:p>
    <w:p>
      <w:pPr>
        <w:pStyle w:val="3"/>
      </w:pPr>
      <w:r>
        <w:rPr>
          <w:rFonts w:hint="eastAsia"/>
        </w:rPr>
        <w:t>四、备注</w:t>
      </w:r>
    </w:p>
    <w:p>
      <w:pPr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需使用不带记忆功能的科学计算器</w:t>
      </w:r>
    </w:p>
    <w:p>
      <w:pPr>
        <w:jc w:val="left"/>
        <w:rPr>
          <w:rFonts w:hint="eastAsia" w:ascii="宋体" w:hAnsi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0624E"/>
    <w:rsid w:val="4DE0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_Style 6"/>
    <w:basedOn w:val="1"/>
    <w:next w:val="6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2020-03-28T08:27:00Z</dcterms:created>
  <dc:creator>囿。</dc:creator>
  <cp:lastModifiedBy>囿。</cp:lastModifiedBy>
  <dcterms:modified xsi:type="dcterms:W3CDTF">2020-03-28T08:28:14Z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