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宋体"/>
          <w:b/>
          <w:bCs/>
          <w:color w:val="auto"/>
          <w:sz w:val="18"/>
          <w:szCs w:val="18"/>
        </w:rPr>
      </w:pPr>
    </w:p>
    <w:p>
      <w:pPr>
        <w:pStyle w:val="2"/>
        <w:rPr>
          <w:rFonts w:hint="eastAsia"/>
          <w:color w:val="auto"/>
        </w:rPr>
      </w:pPr>
      <w:r>
        <w:rPr>
          <w:rFonts w:hint="eastAsia"/>
          <w:color w:val="auto"/>
        </w:rPr>
        <w:t>技术经济学</w:t>
      </w:r>
    </w:p>
    <w:p>
      <w:pPr>
        <w:pStyle w:val="3"/>
        <w:rPr>
          <w:rFonts w:hint="eastAsia"/>
          <w:color w:val="auto"/>
        </w:rPr>
      </w:pPr>
      <w:r>
        <w:rPr>
          <w:rFonts w:hint="eastAsia"/>
          <w:color w:val="auto"/>
        </w:rPr>
        <w:t>参考书目：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  <w:rPr>
          <w:rFonts w:ascii="Calibri" w:hAnsi="Calibri" w:eastAsia="宋体" w:cs="Times New Roman"/>
          <w:color w:val="auto"/>
          <w:sz w:val="18"/>
          <w:szCs w:val="18"/>
        </w:rPr>
      </w:pPr>
      <w:r>
        <w:rPr>
          <w:rFonts w:hint="eastAsia" w:ascii="Calibri" w:hAnsi="Calibri" w:eastAsia="宋体" w:cs="Times New Roman"/>
          <w:color w:val="auto"/>
          <w:sz w:val="18"/>
          <w:szCs w:val="18"/>
        </w:rPr>
        <w:t>《工业技术经济学》</w:t>
      </w:r>
      <w:r>
        <w:rPr>
          <w:rFonts w:ascii="Calibri" w:hAnsi="Calibri" w:eastAsia="宋体" w:cs="Times New Roman"/>
          <w:color w:val="auto"/>
          <w:sz w:val="18"/>
          <w:szCs w:val="18"/>
        </w:rPr>
        <w:t>付家骥  清华大学出版社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Calibri" w:hAnsi="Calibri" w:eastAsia="宋体" w:cs="Times New Roman"/>
          <w:color w:val="auto"/>
          <w:sz w:val="18"/>
          <w:szCs w:val="18"/>
        </w:rPr>
        <w:t>建设项目经济评价方法与参数（第三版）中国计划出版社</w:t>
      </w:r>
    </w:p>
    <w:p>
      <w:pPr>
        <w:pStyle w:val="3"/>
        <w:rPr>
          <w:color w:val="auto"/>
        </w:rPr>
      </w:pPr>
      <w:r>
        <w:rPr>
          <w:rFonts w:hint="eastAsia"/>
          <w:color w:val="auto"/>
          <w:lang w:eastAsia="zh-CN"/>
        </w:rPr>
        <w:t>一、</w:t>
      </w:r>
      <w:r>
        <w:rPr>
          <w:rFonts w:hint="eastAsia"/>
          <w:color w:val="auto"/>
        </w:rPr>
        <w:t>考试目的与要求</w:t>
      </w:r>
    </w:p>
    <w:p>
      <w:pPr>
        <w:pStyle w:val="23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测试考生掌握技术经济学的基本原理和基本方法，以及经济效果评价的能力。考生应掌握</w:t>
      </w:r>
      <w:r>
        <w:rPr>
          <w:color w:val="auto"/>
          <w:sz w:val="18"/>
          <w:szCs w:val="18"/>
        </w:rPr>
        <w:t>投资项目的可行性研究</w:t>
      </w:r>
      <w:r>
        <w:rPr>
          <w:rFonts w:hint="eastAsia"/>
          <w:color w:val="auto"/>
          <w:sz w:val="18"/>
          <w:szCs w:val="18"/>
        </w:rPr>
        <w:t>定性和定量分析的基本方法和步骤，建立为投资决策提供科学依据的思维方式。</w:t>
      </w:r>
    </w:p>
    <w:p>
      <w:pPr>
        <w:pStyle w:val="3"/>
        <w:rPr>
          <w:color w:val="auto"/>
        </w:rPr>
      </w:pPr>
      <w:r>
        <w:rPr>
          <w:rFonts w:hint="eastAsia"/>
          <w:color w:val="auto"/>
          <w:lang w:eastAsia="zh-CN"/>
        </w:rPr>
        <w:t>二、</w:t>
      </w:r>
      <w:r>
        <w:rPr>
          <w:rFonts w:hint="eastAsia"/>
          <w:color w:val="auto"/>
        </w:rPr>
        <w:t>试卷结构（满分10</w:t>
      </w:r>
      <w:r>
        <w:rPr>
          <w:color w:val="auto"/>
        </w:rPr>
        <w:t>0</w:t>
      </w:r>
      <w:r>
        <w:rPr>
          <w:rFonts w:hint="eastAsia"/>
          <w:color w:val="auto"/>
        </w:rPr>
        <w:t>分）</w:t>
      </w:r>
    </w:p>
    <w:p>
      <w:pPr>
        <w:pStyle w:val="23"/>
        <w:ind w:left="0" w:leftChars="0" w:firstLine="0" w:firstLineChars="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内容比例：</w:t>
      </w:r>
      <w:r>
        <w:rPr>
          <w:color w:val="auto"/>
          <w:sz w:val="18"/>
          <w:szCs w:val="18"/>
        </w:rPr>
        <w:t xml:space="preserve"> 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现金流量构成与资金等值计算 约20分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经济效果评价指标与方法  约30分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多方案间的关系类型  约20分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不确定分析    约10分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项目可行性研究 约10分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设备更新的技术经济分析 约10分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题型比例：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     1．概念、单项选择题   约10分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     2．简答题             约20分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     3．综合计算分析题     约70分</w:t>
      </w:r>
    </w:p>
    <w:p>
      <w:pPr>
        <w:pStyle w:val="3"/>
        <w:rPr>
          <w:color w:val="auto"/>
        </w:rPr>
      </w:pPr>
      <w:r>
        <w:rPr>
          <w:rFonts w:hint="eastAsia"/>
          <w:color w:val="auto"/>
        </w:rPr>
        <w:t>三、考试内容与要求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   （一）技术经济学的学科性质、研究对象和发展史，学习该学科的基本概念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 考试内容   学科性质、研究对象、发展史、基本概念。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考试要求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1.掌握术经济学的学科性质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2.掌握技术经济学的研究对象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3.了解技术经济学的发展史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4.掌握该学科的基本概念</w:t>
      </w: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   （二）现金流量构成和资金等值计算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考试内容  现金流量构成和资金等值计算。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考试要求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1. 掌握经济效果的概念、表达形式和提高其的途径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2. 掌握现金流量及其构成，会用图和表描述项目系统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3. 掌握资金的时间价值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4. 掌握资金等值计算公式</w:t>
      </w: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18"/>
          <w:szCs w:val="18"/>
        </w:rPr>
        <w:t>（三）经济效果评价指标与方法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考试内容  经济效果评价指标计算与使用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考试要求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1. 掌握时间型经济评价指标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2. 掌握价值型经济评价指标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3. 掌握效率型经济评价指标</w:t>
      </w: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   （四）备选项目多方案间的关系类型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考试内容  计算各种方案，如互斥方案的选择、独立方案的选择、混合方案的选择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考试要求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1. 掌握互斥方案的选择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2. 掌握独立方案的选择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3. 掌握混合方案的选择</w:t>
      </w: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 xml:space="preserve">   （五）不确定分析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考试内容  盈亏平衡分析、敏感性分析、概率分析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考试要求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1. 掌握盈亏平衡分析的计算和使用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2. 掌握敏感性分析的计算和使用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3. 掌握概率分析的计算和使用</w:t>
      </w: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18"/>
          <w:szCs w:val="18"/>
        </w:rPr>
        <w:t>（六）投资项目的可行性研究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考试内容  可行性研究的涵义及主要内容、投资项目的财务分析（财务评价）项目财务评价的概念、目的、内容、程序以及财务评价的内容、基本财务报表与评价指标的对应关系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考试要求  掌握可行性研究主要内容</w:t>
      </w: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18"/>
          <w:szCs w:val="18"/>
        </w:rPr>
        <w:t>（七）设备更新的技术经济分析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考试内容  设备更新的技术经济分析的方法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考试要求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1. 掌握设备的磨损类型及其补偿形式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2. 掌握设备大修理及其技术经济分析</w:t>
      </w:r>
    </w:p>
    <w:p>
      <w:pPr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3. 设备更新及其技术经济分析</w:t>
      </w: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rPr>
          <w:rFonts w:ascii="宋体" w:hAnsi="宋体"/>
          <w:color w:val="auto"/>
          <w:sz w:val="18"/>
          <w:szCs w:val="18"/>
        </w:rPr>
      </w:pPr>
    </w:p>
    <w:p>
      <w:pPr>
        <w:pStyle w:val="10"/>
        <w:rPr>
          <w:rFonts w:hint="eastAsia" w:hAnsi="宋体"/>
          <w:color w:val="auto"/>
          <w:sz w:val="18"/>
          <w:szCs w:val="18"/>
        </w:rPr>
      </w:pPr>
    </w:p>
    <w:p>
      <w:pPr>
        <w:adjustRightInd w:val="0"/>
        <w:snapToGrid w:val="0"/>
        <w:rPr>
          <w:color w:val="auto"/>
          <w:sz w:val="18"/>
          <w:szCs w:val="18"/>
        </w:rPr>
      </w:pPr>
    </w:p>
    <w:p>
      <w:pPr>
        <w:pStyle w:val="16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ind w:firstLine="3213" w:firstLineChars="1000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ind w:firstLine="309" w:firstLineChars="171"/>
        <w:rPr>
          <w:rFonts w:ascii="Calibri" w:hAnsi="Calibri" w:eastAsia="宋体" w:cs="宋体"/>
          <w:b/>
          <w:bCs/>
          <w:color w:val="auto"/>
          <w:sz w:val="18"/>
          <w:szCs w:val="18"/>
        </w:rPr>
      </w:pPr>
    </w:p>
    <w:p>
      <w:pPr>
        <w:pStyle w:val="10"/>
        <w:widowControl w:val="0"/>
        <w:wordWrap/>
        <w:snapToGrid/>
        <w:spacing w:before="0" w:after="0" w:line="240" w:lineRule="auto"/>
        <w:ind w:right="0"/>
        <w:textAlignment w:val="auto"/>
        <w:outlineLvl w:val="9"/>
        <w:rPr>
          <w:rFonts w:hint="eastAsia" w:ascii="宋体" w:hAnsi="宋体" w:cs="宋体"/>
          <w:b/>
          <w:color w:val="auto"/>
          <w:sz w:val="18"/>
          <w:szCs w:val="18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13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link w:val="9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semiHidden/>
    <w:uiPriority w:val="0"/>
    <w:rPr>
      <w:rFonts w:ascii="Times New Roman" w:hAnsi="Times New Roman" w:eastAsia="宋体"/>
      <w:b/>
      <w:kern w:val="44"/>
      <w:sz w:val="44"/>
    </w:rPr>
  </w:style>
  <w:style w:type="character" w:customStyle="1" w:styleId="9">
    <w:name w:val="标题 2 Char"/>
    <w:link w:val="3"/>
    <w:semiHidden/>
    <w:uiPriority w:val="0"/>
    <w:rPr>
      <w:rFonts w:ascii="Arial" w:hAnsi="Arial" w:eastAsia="宋体"/>
      <w:b/>
      <w:sz w:val="24"/>
    </w:rPr>
  </w:style>
  <w:style w:type="paragraph" w:customStyle="1" w:styleId="10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HTML Addre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列出段落"/>
    <w:basedOn w:val="1"/>
    <w:qFormat/>
    <w:uiPriority w:val="0"/>
    <w:pPr>
      <w:ind w:firstLine="420" w:firstLineChars="200"/>
    </w:pPr>
  </w:style>
  <w:style w:type="paragraph" w:customStyle="1" w:styleId="1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reader-word-layer reader-word-s1-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List Paragraph1"/>
    <w:basedOn w:val="1"/>
    <w:qFormat/>
    <w:uiPriority w:val="0"/>
    <w:pPr>
      <w:ind w:firstLine="420" w:firstLineChars="200"/>
    </w:pPr>
  </w:style>
  <w:style w:type="paragraph" w:customStyle="1" w:styleId="22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2019-11-06T07:16:00Z</dcterms:created>
  <dc:creator>PC</dc:creator>
  <cp:lastModifiedBy>囿。</cp:lastModifiedBy>
  <dcterms:modified xsi:type="dcterms:W3CDTF">2020-03-28T08:14:24Z</dcterms:modified>
  <dc:title>《汽车理论》复试大纲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