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13" w:rsidRDefault="004E2012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青岛</w:t>
      </w:r>
      <w:r>
        <w:rPr>
          <w:rFonts w:ascii="黑体" w:eastAsia="黑体" w:hAnsi="黑体" w:cs="黑体" w:hint="eastAsia"/>
          <w:sz w:val="28"/>
          <w:szCs w:val="28"/>
        </w:rPr>
        <w:t>大学法学院</w:t>
      </w:r>
      <w:r>
        <w:rPr>
          <w:rFonts w:ascii="黑体" w:eastAsia="黑体" w:hAnsi="黑体" w:cs="黑体" w:hint="eastAsia"/>
          <w:sz w:val="28"/>
          <w:szCs w:val="28"/>
        </w:rPr>
        <w:t>201</w:t>
      </w:r>
      <w:r>
        <w:rPr>
          <w:rFonts w:ascii="黑体" w:eastAsia="黑体" w:hAnsi="黑体" w:cs="黑体" w:hint="eastAsia"/>
          <w:sz w:val="28"/>
          <w:szCs w:val="28"/>
        </w:rPr>
        <w:t>9</w:t>
      </w:r>
      <w:r>
        <w:rPr>
          <w:rFonts w:ascii="黑体" w:eastAsia="黑体" w:hAnsi="黑体" w:cs="黑体" w:hint="eastAsia"/>
          <w:sz w:val="28"/>
          <w:szCs w:val="28"/>
        </w:rPr>
        <w:t>年招收</w:t>
      </w:r>
      <w:r>
        <w:rPr>
          <w:rFonts w:ascii="黑体" w:eastAsia="黑体" w:hAnsi="黑体" w:cs="黑体" w:hint="eastAsia"/>
          <w:sz w:val="28"/>
          <w:szCs w:val="28"/>
        </w:rPr>
        <w:t>研究生</w:t>
      </w:r>
      <w:r>
        <w:rPr>
          <w:rFonts w:ascii="黑体" w:eastAsia="黑体" w:hAnsi="黑体" w:cs="黑体" w:hint="eastAsia"/>
          <w:sz w:val="28"/>
          <w:szCs w:val="28"/>
        </w:rPr>
        <w:t>调剂</w:t>
      </w:r>
      <w:r>
        <w:rPr>
          <w:rFonts w:ascii="黑体" w:eastAsia="黑体" w:hAnsi="黑体" w:cs="黑体" w:hint="eastAsia"/>
          <w:sz w:val="28"/>
          <w:szCs w:val="28"/>
        </w:rPr>
        <w:t>生预报名通知</w:t>
      </w:r>
    </w:p>
    <w:p w:rsidR="00674013" w:rsidRDefault="004E2012">
      <w:r>
        <w:rPr>
          <w:rFonts w:hint="eastAsia"/>
        </w:rPr>
        <w:t xml:space="preserve">　　</w:t>
      </w:r>
    </w:p>
    <w:p w:rsidR="00674013" w:rsidRDefault="004E2012">
      <w:pPr>
        <w:jc w:val="center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学院简介</w:t>
      </w:r>
    </w:p>
    <w:p w:rsidR="00674013" w:rsidRDefault="004E2012">
      <w:pPr>
        <w:ind w:firstLineChars="200" w:firstLine="420"/>
      </w:pPr>
      <w:r>
        <w:rPr>
          <w:rFonts w:hint="eastAsia"/>
        </w:rPr>
        <w:t>青岛大学法学院是一所历史悠久、实力雄厚、特色鲜明、在国际国内法学界享有较高声誉的法学院，是中国宪法学研究会的副</w:t>
      </w:r>
      <w:proofErr w:type="gramStart"/>
      <w:r>
        <w:rPr>
          <w:rFonts w:hint="eastAsia"/>
        </w:rPr>
        <w:t>会长级</w:t>
      </w:r>
      <w:proofErr w:type="gramEnd"/>
      <w:r>
        <w:rPr>
          <w:rFonts w:hint="eastAsia"/>
        </w:rPr>
        <w:t>单位</w:t>
      </w:r>
      <w:r>
        <w:rPr>
          <w:rFonts w:hint="eastAsia"/>
        </w:rPr>
        <w:t>，</w:t>
      </w:r>
      <w:r>
        <w:rPr>
          <w:rFonts w:hint="eastAsia"/>
        </w:rPr>
        <w:t>山东省法学会常务理事单位</w:t>
      </w:r>
      <w:r>
        <w:rPr>
          <w:rFonts w:hint="eastAsia"/>
        </w:rPr>
        <w:t>，</w:t>
      </w:r>
      <w:r>
        <w:rPr>
          <w:rFonts w:hint="eastAsia"/>
        </w:rPr>
        <w:t>青岛市法治智库承办单位</w:t>
      </w:r>
      <w:r>
        <w:rPr>
          <w:rFonts w:hint="eastAsia"/>
        </w:rPr>
        <w:t>，</w:t>
      </w:r>
      <w:r>
        <w:rPr>
          <w:rFonts w:hint="eastAsia"/>
        </w:rPr>
        <w:t>青岛市法治青岛建设研究会会长单位。</w:t>
      </w:r>
    </w:p>
    <w:p w:rsidR="00674013" w:rsidRDefault="004E2012">
      <w:pPr>
        <w:ind w:firstLineChars="200" w:firstLine="420"/>
      </w:pPr>
      <w:r>
        <w:rPr>
          <w:rFonts w:hint="eastAsia"/>
        </w:rPr>
        <w:t>青岛大学法学专业始办于</w:t>
      </w:r>
      <w:r>
        <w:rPr>
          <w:rFonts w:hint="eastAsia"/>
        </w:rPr>
        <w:t>1983</w:t>
      </w:r>
      <w:r>
        <w:rPr>
          <w:rFonts w:hint="eastAsia"/>
        </w:rPr>
        <w:t>年，</w:t>
      </w:r>
      <w:r>
        <w:rPr>
          <w:rFonts w:hint="eastAsia"/>
        </w:rPr>
        <w:t>1993</w:t>
      </w:r>
      <w:r>
        <w:rPr>
          <w:rFonts w:hint="eastAsia"/>
        </w:rPr>
        <w:t>年开始招收法学本科生，是山东省最早开办的法学专业之一。</w:t>
      </w:r>
      <w:r>
        <w:rPr>
          <w:rFonts w:hint="eastAsia"/>
        </w:rPr>
        <w:t>2000</w:t>
      </w:r>
      <w:r>
        <w:rPr>
          <w:rFonts w:hint="eastAsia"/>
        </w:rPr>
        <w:t>年法学院成立</w:t>
      </w:r>
      <w:r>
        <w:rPr>
          <w:rFonts w:hint="eastAsia"/>
        </w:rPr>
        <w:t>；</w:t>
      </w:r>
      <w:proofErr w:type="gramStart"/>
      <w:r>
        <w:rPr>
          <w:rFonts w:hint="eastAsia"/>
        </w:rPr>
        <w:t>2004</w:t>
      </w:r>
      <w:r>
        <w:rPr>
          <w:rFonts w:hint="eastAsia"/>
        </w:rPr>
        <w:t>年始招诉讼法</w:t>
      </w:r>
      <w:proofErr w:type="gramEnd"/>
      <w:r>
        <w:rPr>
          <w:rFonts w:hint="eastAsia"/>
        </w:rPr>
        <w:t>、法律史专业硕士研究生</w:t>
      </w:r>
      <w:r>
        <w:rPr>
          <w:rFonts w:hint="eastAsia"/>
        </w:rPr>
        <w:t>；</w:t>
      </w:r>
      <w:r>
        <w:rPr>
          <w:rFonts w:hint="eastAsia"/>
        </w:rPr>
        <w:t>2006</w:t>
      </w:r>
      <w:r>
        <w:rPr>
          <w:rFonts w:hint="eastAsia"/>
        </w:rPr>
        <w:t>年成立知识产权学院</w:t>
      </w:r>
      <w:r>
        <w:rPr>
          <w:rFonts w:hint="eastAsia"/>
        </w:rPr>
        <w:t>；</w:t>
      </w:r>
      <w:r>
        <w:rPr>
          <w:rFonts w:hint="eastAsia"/>
        </w:rPr>
        <w:t>2008</w:t>
      </w:r>
      <w:r>
        <w:rPr>
          <w:rFonts w:hint="eastAsia"/>
        </w:rPr>
        <w:t>年始招法律硕士专业学位</w:t>
      </w:r>
      <w:r>
        <w:rPr>
          <w:rFonts w:hint="eastAsia"/>
        </w:rPr>
        <w:t>（</w:t>
      </w:r>
      <w:r>
        <w:rPr>
          <w:rFonts w:hint="eastAsia"/>
        </w:rPr>
        <w:t>JM</w:t>
      </w:r>
      <w:r>
        <w:rPr>
          <w:rFonts w:hint="eastAsia"/>
        </w:rPr>
        <w:t>）</w:t>
      </w:r>
      <w:r>
        <w:rPr>
          <w:rFonts w:hint="eastAsia"/>
        </w:rPr>
        <w:t>硕士研究生，并参与法医学、公共管理硕士</w:t>
      </w:r>
      <w:r>
        <w:rPr>
          <w:rFonts w:hint="eastAsia"/>
        </w:rPr>
        <w:t>（</w:t>
      </w:r>
      <w:r>
        <w:rPr>
          <w:rFonts w:hint="eastAsia"/>
        </w:rPr>
        <w:t>MPA</w:t>
      </w:r>
      <w:r>
        <w:rPr>
          <w:rFonts w:hint="eastAsia"/>
        </w:rPr>
        <w:t>）</w:t>
      </w:r>
      <w:r>
        <w:rPr>
          <w:rFonts w:hint="eastAsia"/>
        </w:rPr>
        <w:t>的联合培养工作</w:t>
      </w:r>
      <w:r>
        <w:rPr>
          <w:rFonts w:hint="eastAsia"/>
        </w:rPr>
        <w:t>；</w:t>
      </w:r>
      <w:r>
        <w:rPr>
          <w:rFonts w:hint="eastAsia"/>
        </w:rPr>
        <w:t>2010</w:t>
      </w:r>
      <w:r>
        <w:rPr>
          <w:rFonts w:hint="eastAsia"/>
        </w:rPr>
        <w:t>年获得法学一级学科硕士学位授权点</w:t>
      </w:r>
      <w:r>
        <w:rPr>
          <w:rFonts w:hint="eastAsia"/>
        </w:rPr>
        <w:t>；</w:t>
      </w:r>
      <w:r>
        <w:rPr>
          <w:rFonts w:hint="eastAsia"/>
        </w:rPr>
        <w:t>2014</w:t>
      </w:r>
      <w:r>
        <w:rPr>
          <w:rFonts w:hint="eastAsia"/>
        </w:rPr>
        <w:t>年参与管理科学博士点联合培养工作。</w:t>
      </w:r>
      <w:r>
        <w:rPr>
          <w:rFonts w:hint="eastAsia"/>
        </w:rPr>
        <w:t>2015</w:t>
      </w:r>
      <w:r>
        <w:rPr>
          <w:rFonts w:hint="eastAsia"/>
        </w:rPr>
        <w:t>年底，学校为落实国家“双一流”战略和科学谋划“十三五”及中长期发展战略的需要，对法学院进行重组，形成了单一法学学科法学院。</w:t>
      </w:r>
    </w:p>
    <w:p w:rsidR="00674013" w:rsidRDefault="004E2012">
      <w:pPr>
        <w:ind w:firstLineChars="200" w:firstLine="420"/>
      </w:pPr>
      <w:r>
        <w:rPr>
          <w:rFonts w:hint="eastAsia"/>
        </w:rPr>
        <w:t>目前，法学专业是山东省特色名校建设工程的重点建设专业，山东省地方立法研究服务基地，青岛市地方立法研究基地。拥有宪法学与行政法学</w:t>
      </w:r>
      <w:r>
        <w:rPr>
          <w:rFonts w:hint="eastAsia"/>
        </w:rPr>
        <w:t>（</w:t>
      </w:r>
      <w:proofErr w:type="gramStart"/>
      <w:r>
        <w:rPr>
          <w:rFonts w:hint="eastAsia"/>
        </w:rPr>
        <w:t>十二五</w:t>
      </w:r>
      <w:proofErr w:type="gramEnd"/>
      <w:r>
        <w:rPr>
          <w:rFonts w:hint="eastAsia"/>
        </w:rPr>
        <w:t>）</w:t>
      </w:r>
      <w:r>
        <w:rPr>
          <w:rFonts w:hint="eastAsia"/>
        </w:rPr>
        <w:t>省级重点学科，</w:t>
      </w:r>
      <w:r>
        <w:rPr>
          <w:rFonts w:hint="eastAsia"/>
        </w:rPr>
        <w:t>“</w:t>
      </w:r>
      <w:r>
        <w:rPr>
          <w:rFonts w:hint="eastAsia"/>
        </w:rPr>
        <w:t>物证技术应用</w:t>
      </w:r>
      <w:r>
        <w:rPr>
          <w:rFonts w:hint="eastAsia"/>
        </w:rPr>
        <w:t>”</w:t>
      </w:r>
      <w:r>
        <w:rPr>
          <w:rFonts w:hint="eastAsia"/>
        </w:rPr>
        <w:t>省级重点实验室</w:t>
      </w:r>
      <w:r>
        <w:rPr>
          <w:rFonts w:hint="eastAsia"/>
        </w:rPr>
        <w:t>（</w:t>
      </w:r>
      <w:r>
        <w:rPr>
          <w:rFonts w:hint="eastAsia"/>
        </w:rPr>
        <w:t>国家级文科综合实验教学示范中心</w:t>
      </w:r>
      <w:r>
        <w:rPr>
          <w:rFonts w:hint="eastAsia"/>
        </w:rPr>
        <w:t>）</w:t>
      </w:r>
      <w:r>
        <w:rPr>
          <w:rFonts w:hint="eastAsia"/>
        </w:rPr>
        <w:t>。参与山东省和青岛市党政智库建设，设有青岛市知识产权培训基地、国际交流暨中</w:t>
      </w:r>
      <w:proofErr w:type="gramStart"/>
      <w:r>
        <w:rPr>
          <w:rFonts w:hint="eastAsia"/>
        </w:rPr>
        <w:t>韩法律</w:t>
      </w:r>
      <w:proofErr w:type="gramEnd"/>
      <w:r>
        <w:rPr>
          <w:rFonts w:hint="eastAsia"/>
        </w:rPr>
        <w:t>中心、行政法案例研究中心、法律专业培训与服务中心等服务平台。</w:t>
      </w:r>
    </w:p>
    <w:p w:rsidR="00674013" w:rsidRDefault="004E2012">
      <w:pPr>
        <w:ind w:firstLineChars="200" w:firstLine="420"/>
      </w:pPr>
      <w:r>
        <w:rPr>
          <w:rFonts w:hint="eastAsia"/>
        </w:rPr>
        <w:t>学院现有专任教师</w:t>
      </w:r>
      <w:r>
        <w:rPr>
          <w:rFonts w:hint="eastAsia"/>
        </w:rPr>
        <w:t>55</w:t>
      </w:r>
      <w:r>
        <w:rPr>
          <w:rFonts w:hint="eastAsia"/>
        </w:rPr>
        <w:t>人，其中，博士生导师</w:t>
      </w:r>
      <w:r>
        <w:rPr>
          <w:rFonts w:hint="eastAsia"/>
        </w:rPr>
        <w:t>1</w:t>
      </w:r>
      <w:r>
        <w:rPr>
          <w:rFonts w:hint="eastAsia"/>
        </w:rPr>
        <w:t>人，硕士生导师</w:t>
      </w:r>
      <w:r>
        <w:rPr>
          <w:rFonts w:hint="eastAsia"/>
        </w:rPr>
        <w:t>44</w:t>
      </w:r>
      <w:r>
        <w:rPr>
          <w:rFonts w:hint="eastAsia"/>
        </w:rPr>
        <w:t>人。教授</w:t>
      </w:r>
      <w:r>
        <w:rPr>
          <w:rFonts w:hint="eastAsia"/>
        </w:rPr>
        <w:t>8</w:t>
      </w:r>
      <w:r>
        <w:rPr>
          <w:rFonts w:hint="eastAsia"/>
        </w:rPr>
        <w:t>人，副教授</w:t>
      </w:r>
      <w:r>
        <w:rPr>
          <w:rFonts w:hint="eastAsia"/>
        </w:rPr>
        <w:t>25</w:t>
      </w:r>
      <w:r>
        <w:rPr>
          <w:rFonts w:hint="eastAsia"/>
        </w:rPr>
        <w:t>人，讲师</w:t>
      </w:r>
      <w:r>
        <w:rPr>
          <w:rFonts w:hint="eastAsia"/>
        </w:rPr>
        <w:t>20</w:t>
      </w:r>
      <w:r>
        <w:rPr>
          <w:rFonts w:hint="eastAsia"/>
        </w:rPr>
        <w:t>人，具有博士学位者</w:t>
      </w:r>
      <w:r>
        <w:rPr>
          <w:rFonts w:hint="eastAsia"/>
        </w:rPr>
        <w:t>34</w:t>
      </w:r>
      <w:r>
        <w:rPr>
          <w:rFonts w:hint="eastAsia"/>
        </w:rPr>
        <w:t>人。学院设置法理法史教研室、宪法与行政法教研室、民事法教研室、刑事法教研室、商法与经济法教研室、国际法教研室六个教研室。拥有法律史、宪法与行政法、</w:t>
      </w:r>
      <w:r>
        <w:rPr>
          <w:rFonts w:hint="eastAsia"/>
        </w:rPr>
        <w:t>刑法、</w:t>
      </w:r>
      <w:r>
        <w:rPr>
          <w:rFonts w:hint="eastAsia"/>
        </w:rPr>
        <w:t>民商法</w:t>
      </w:r>
      <w:r>
        <w:rPr>
          <w:rFonts w:hint="eastAsia"/>
        </w:rPr>
        <w:t>、</w:t>
      </w:r>
      <w:r>
        <w:rPr>
          <w:rFonts w:hint="eastAsia"/>
        </w:rPr>
        <w:t>诉讼法和国际法</w:t>
      </w:r>
      <w:r>
        <w:rPr>
          <w:rFonts w:hint="eastAsia"/>
        </w:rPr>
        <w:t>6</w:t>
      </w:r>
      <w:r>
        <w:rPr>
          <w:rFonts w:hint="eastAsia"/>
        </w:rPr>
        <w:t>个学术学位硕士点</w:t>
      </w:r>
      <w:r>
        <w:rPr>
          <w:rFonts w:hint="eastAsia"/>
        </w:rPr>
        <w:t>；</w:t>
      </w:r>
      <w:r>
        <w:rPr>
          <w:rFonts w:hint="eastAsia"/>
        </w:rPr>
        <w:t>拥有法律硕士专业学位点。已经形成了以宪法与行政法学科为龙头</w:t>
      </w:r>
      <w:r>
        <w:rPr>
          <w:rFonts w:hint="eastAsia"/>
        </w:rPr>
        <w:t>，法理、法史、民商经济法、刑事法、诉讼法和国际法为基础，多学科融合、优势共享的发展格局。</w:t>
      </w:r>
    </w:p>
    <w:p w:rsidR="00674013" w:rsidRDefault="004E2012">
      <w:pPr>
        <w:ind w:firstLineChars="200" w:firstLine="420"/>
      </w:pPr>
      <w:r>
        <w:rPr>
          <w:rFonts w:hint="eastAsia"/>
        </w:rPr>
        <w:t>学院坚持“人文情怀、专业思维、中国立场、国际视野”的人才培养理念，以立德树人为核心，以推进“开放式”课堂教学为特色，注重专业基本知识和技能训练，也重视学生创造能力和实践能力的开发。</w:t>
      </w:r>
    </w:p>
    <w:p w:rsidR="00674013" w:rsidRDefault="00674013">
      <w:pPr>
        <w:ind w:firstLineChars="200" w:firstLine="480"/>
        <w:rPr>
          <w:rFonts w:ascii="黑体" w:eastAsia="黑体" w:hAnsi="黑体" w:cs="黑体"/>
          <w:sz w:val="24"/>
        </w:rPr>
      </w:pPr>
    </w:p>
    <w:p w:rsidR="00674013" w:rsidRDefault="004E2012">
      <w:pPr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一、接收调剂专业</w:t>
      </w:r>
      <w:r>
        <w:rPr>
          <w:rFonts w:ascii="黑体" w:eastAsia="黑体" w:hAnsi="黑体" w:cs="黑体" w:hint="eastAsia"/>
          <w:sz w:val="24"/>
        </w:rPr>
        <w:t xml:space="preserve">　　</w:t>
      </w:r>
    </w:p>
    <w:p w:rsidR="00674013" w:rsidRDefault="004E2012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030102</w:t>
      </w:r>
      <w:r>
        <w:rPr>
          <w:rFonts w:ascii="宋体" w:eastAsia="宋体" w:hAnsi="宋体" w:cs="宋体" w:hint="eastAsia"/>
          <w:sz w:val="24"/>
        </w:rPr>
        <w:t>法律史</w:t>
      </w:r>
    </w:p>
    <w:p w:rsidR="00674013" w:rsidRDefault="004E2012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030103</w:t>
      </w:r>
      <w:r>
        <w:rPr>
          <w:rFonts w:ascii="宋体" w:eastAsia="宋体" w:hAnsi="宋体" w:cs="宋体" w:hint="eastAsia"/>
          <w:sz w:val="24"/>
        </w:rPr>
        <w:t>宪法与行政法学</w:t>
      </w:r>
    </w:p>
    <w:p w:rsidR="00674013" w:rsidRDefault="004E2012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030104</w:t>
      </w:r>
      <w:r>
        <w:rPr>
          <w:rFonts w:ascii="宋体" w:eastAsia="宋体" w:hAnsi="宋体" w:cs="宋体" w:hint="eastAsia"/>
          <w:sz w:val="24"/>
        </w:rPr>
        <w:t>刑法学</w:t>
      </w:r>
    </w:p>
    <w:p w:rsidR="00674013" w:rsidRDefault="004E2012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030109</w:t>
      </w:r>
      <w:r>
        <w:rPr>
          <w:rFonts w:ascii="宋体" w:eastAsia="宋体" w:hAnsi="宋体" w:cs="宋体" w:hint="eastAsia"/>
          <w:sz w:val="24"/>
        </w:rPr>
        <w:t>国际法学</w:t>
      </w:r>
    </w:p>
    <w:p w:rsidR="00674013" w:rsidRDefault="004E2012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035101</w:t>
      </w:r>
      <w:r>
        <w:rPr>
          <w:rFonts w:ascii="宋体" w:eastAsia="宋体" w:hAnsi="宋体" w:cs="宋体" w:hint="eastAsia"/>
          <w:sz w:val="24"/>
        </w:rPr>
        <w:t>法律（非法学）（非全日制）</w:t>
      </w:r>
    </w:p>
    <w:p w:rsidR="00674013" w:rsidRDefault="004E2012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035102</w:t>
      </w:r>
      <w:r>
        <w:rPr>
          <w:rFonts w:ascii="宋体" w:eastAsia="宋体" w:hAnsi="宋体" w:cs="宋体" w:hint="eastAsia"/>
          <w:sz w:val="24"/>
        </w:rPr>
        <w:t>法律（法学）（全日制与非全日制）</w:t>
      </w:r>
    </w:p>
    <w:p w:rsidR="00674013" w:rsidRDefault="00674013">
      <w:pPr>
        <w:ind w:firstLineChars="200" w:firstLine="480"/>
        <w:rPr>
          <w:rFonts w:ascii="黑体" w:eastAsia="黑体" w:hAnsi="黑体" w:cs="黑体"/>
          <w:sz w:val="24"/>
        </w:rPr>
      </w:pPr>
    </w:p>
    <w:p w:rsidR="00674013" w:rsidRDefault="004E2012">
      <w:pPr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</w:t>
      </w:r>
      <w:r>
        <w:rPr>
          <w:rFonts w:ascii="黑体" w:eastAsia="黑体" w:hAnsi="黑体" w:cs="黑体" w:hint="eastAsia"/>
          <w:sz w:val="24"/>
        </w:rPr>
        <w:t>调剂申请</w:t>
      </w:r>
      <w:r>
        <w:rPr>
          <w:rFonts w:ascii="黑体" w:eastAsia="黑体" w:hAnsi="黑体" w:cs="黑体" w:hint="eastAsia"/>
          <w:sz w:val="24"/>
        </w:rPr>
        <w:t>原则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考生考试总分和单科达到国家线。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第一志愿报考</w:t>
      </w:r>
      <w:r>
        <w:rPr>
          <w:rFonts w:hint="eastAsia"/>
          <w:sz w:val="24"/>
        </w:rPr>
        <w:t>法学</w:t>
      </w:r>
      <w:r>
        <w:rPr>
          <w:rFonts w:hint="eastAsia"/>
          <w:sz w:val="24"/>
        </w:rPr>
        <w:t>学术型硕士研究生且本科为法学专业的考生可以申请调入</w:t>
      </w:r>
      <w:r>
        <w:rPr>
          <w:rFonts w:hint="eastAsia"/>
          <w:sz w:val="24"/>
        </w:rPr>
        <w:t>全日制法律硕士（法学）和</w:t>
      </w:r>
      <w:r>
        <w:rPr>
          <w:rFonts w:hint="eastAsia"/>
          <w:sz w:val="24"/>
        </w:rPr>
        <w:t>非全日制法律硕士（法学）</w:t>
      </w:r>
      <w:r>
        <w:rPr>
          <w:rFonts w:hint="eastAsia"/>
          <w:sz w:val="24"/>
        </w:rPr>
        <w:t>。</w:t>
      </w:r>
    </w:p>
    <w:p w:rsidR="00674013" w:rsidRDefault="004E2012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、非全日制法律硕士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非法学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只能接收第一志愿报考法律硕士（全日制及非全日制）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非法学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的考生；法律硕士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法学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只接收本科为法学</w:t>
      </w:r>
      <w:r>
        <w:rPr>
          <w:rFonts w:hint="eastAsia"/>
          <w:sz w:val="24"/>
        </w:rPr>
        <w:t>且报考法学专业</w:t>
      </w:r>
      <w:r>
        <w:rPr>
          <w:rFonts w:hint="eastAsia"/>
          <w:sz w:val="24"/>
        </w:rPr>
        <w:t>的考生。</w:t>
      </w:r>
    </w:p>
    <w:p w:rsidR="00674013" w:rsidRDefault="004E2012">
      <w:pPr>
        <w:ind w:firstLine="481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考生必须通过教育部指定的“全国硕士生招生调剂服务系统”进行</w:t>
      </w:r>
      <w:r>
        <w:rPr>
          <w:rFonts w:hint="eastAsia"/>
          <w:sz w:val="24"/>
        </w:rPr>
        <w:t>调剂</w:t>
      </w:r>
      <w:r>
        <w:rPr>
          <w:rFonts w:hint="eastAsia"/>
          <w:sz w:val="24"/>
        </w:rPr>
        <w:lastRenderedPageBreak/>
        <w:t>（系统开放时间未定）。在系统开放时间段内符合我院调剂要求的考生均可向我院申请调剂。</w:t>
      </w:r>
    </w:p>
    <w:p w:rsidR="00674013" w:rsidRDefault="004E2012">
      <w:pPr>
        <w:ind w:firstLine="481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具体政策及安排将以青岛大学研究生招生信息网通知为准，</w:t>
      </w:r>
      <w:r>
        <w:rPr>
          <w:rFonts w:ascii="楷体" w:eastAsia="楷体" w:hAnsi="楷体" w:cs="楷体" w:hint="eastAsia"/>
          <w:b/>
          <w:bCs/>
          <w:sz w:val="24"/>
        </w:rPr>
        <w:t>请密切关注网站通知。</w:t>
      </w:r>
    </w:p>
    <w:p w:rsidR="00674013" w:rsidRDefault="00674013">
      <w:pPr>
        <w:ind w:firstLine="481"/>
        <w:rPr>
          <w:sz w:val="24"/>
        </w:rPr>
      </w:pPr>
    </w:p>
    <w:p w:rsidR="00674013" w:rsidRDefault="004E2012">
      <w:pPr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三、预调剂报名方式</w:t>
      </w:r>
    </w:p>
    <w:p w:rsidR="00674013" w:rsidRDefault="004E2012">
      <w:pPr>
        <w:ind w:firstLine="480"/>
        <w:rPr>
          <w:sz w:val="24"/>
        </w:rPr>
      </w:pPr>
      <w:hyperlink r:id="rId8" w:history="1">
        <w:r>
          <w:rPr>
            <w:rStyle w:val="a5"/>
            <w:rFonts w:hint="eastAsia"/>
            <w:sz w:val="24"/>
          </w:rPr>
          <w:t>将个人信息（内容如下）发送至</w:t>
        </w:r>
        <w:r>
          <w:rPr>
            <w:rStyle w:val="a5"/>
            <w:rFonts w:hint="eastAsia"/>
            <w:sz w:val="24"/>
          </w:rPr>
          <w:t>286403638@qq.com</w:t>
        </w:r>
        <w:r>
          <w:rPr>
            <w:rStyle w:val="a5"/>
            <w:rFonts w:hint="eastAsia"/>
            <w:sz w:val="24"/>
          </w:rPr>
          <w:t>邮箱。</w:t>
        </w:r>
      </w:hyperlink>
    </w:p>
    <w:p w:rsidR="00674013" w:rsidRDefault="004E2012">
      <w:pPr>
        <w:ind w:firstLine="480"/>
        <w:rPr>
          <w:sz w:val="24"/>
        </w:rPr>
      </w:pPr>
      <w:r>
        <w:rPr>
          <w:rFonts w:hint="eastAsia"/>
          <w:sz w:val="24"/>
        </w:rPr>
        <w:t>内容：姓名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联系方式（有效手机号）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单科考试成绩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总成绩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原报考学校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毕业学校。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四、研究生学费标准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全日制研究生收费标准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学术学位硕士研究生：每生每年</w:t>
      </w:r>
      <w:r>
        <w:rPr>
          <w:rFonts w:hint="eastAsia"/>
          <w:sz w:val="24"/>
        </w:rPr>
        <w:t xml:space="preserve"> 0.8 </w:t>
      </w:r>
      <w:r>
        <w:rPr>
          <w:rFonts w:hint="eastAsia"/>
          <w:sz w:val="24"/>
        </w:rPr>
        <w:t>万元。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专业学位硕士研究生：每生每年</w:t>
      </w:r>
      <w:r>
        <w:rPr>
          <w:rFonts w:hint="eastAsia"/>
          <w:sz w:val="24"/>
        </w:rPr>
        <w:t xml:space="preserve"> 1 </w:t>
      </w:r>
      <w:r>
        <w:rPr>
          <w:rFonts w:hint="eastAsia"/>
          <w:sz w:val="24"/>
        </w:rPr>
        <w:t>万元。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非全日制研究生收费标准</w:t>
      </w:r>
    </w:p>
    <w:p w:rsidR="00674013" w:rsidRDefault="00674013">
      <w:pPr>
        <w:ind w:firstLineChars="200" w:firstLine="480"/>
        <w:rPr>
          <w:sz w:val="24"/>
        </w:rPr>
      </w:pPr>
    </w:p>
    <w:tbl>
      <w:tblPr>
        <w:tblW w:w="900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541"/>
        <w:gridCol w:w="1184"/>
        <w:gridCol w:w="1459"/>
        <w:gridCol w:w="656"/>
        <w:gridCol w:w="1733"/>
        <w:gridCol w:w="1622"/>
      </w:tblGrid>
      <w:tr w:rsidR="00674013">
        <w:trPr>
          <w:trHeight w:val="732"/>
        </w:trPr>
        <w:tc>
          <w:tcPr>
            <w:tcW w:w="812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541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学位类型</w:t>
            </w:r>
          </w:p>
        </w:tc>
        <w:tc>
          <w:tcPr>
            <w:tcW w:w="1184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培养方式</w:t>
            </w:r>
          </w:p>
        </w:tc>
        <w:tc>
          <w:tcPr>
            <w:tcW w:w="1459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招生专业名称</w:t>
            </w:r>
          </w:p>
        </w:tc>
        <w:tc>
          <w:tcPr>
            <w:tcW w:w="656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733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学费总额（万元）</w:t>
            </w:r>
          </w:p>
        </w:tc>
        <w:tc>
          <w:tcPr>
            <w:tcW w:w="1622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收费标准（万元</w:t>
            </w:r>
            <w:r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学年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</w:tr>
      <w:tr w:rsidR="00674013">
        <w:trPr>
          <w:trHeight w:val="405"/>
        </w:trPr>
        <w:tc>
          <w:tcPr>
            <w:tcW w:w="812" w:type="dxa"/>
            <w:vMerge w:val="restart"/>
          </w:tcPr>
          <w:p w:rsidR="00674013" w:rsidRDefault="00674013">
            <w:pPr>
              <w:ind w:firstLineChars="200" w:firstLine="420"/>
              <w:jc w:val="left"/>
              <w:rPr>
                <w:szCs w:val="21"/>
              </w:rPr>
            </w:pPr>
          </w:p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法学院</w:t>
            </w:r>
          </w:p>
        </w:tc>
        <w:tc>
          <w:tcPr>
            <w:tcW w:w="1541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84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非全日制</w:t>
            </w:r>
          </w:p>
        </w:tc>
        <w:tc>
          <w:tcPr>
            <w:tcW w:w="1459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法律（非法学）</w:t>
            </w:r>
          </w:p>
        </w:tc>
        <w:tc>
          <w:tcPr>
            <w:tcW w:w="656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33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3.6</w:t>
            </w:r>
          </w:p>
        </w:tc>
        <w:tc>
          <w:tcPr>
            <w:tcW w:w="1622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</w:tr>
      <w:tr w:rsidR="00674013">
        <w:trPr>
          <w:trHeight w:val="405"/>
        </w:trPr>
        <w:tc>
          <w:tcPr>
            <w:tcW w:w="812" w:type="dxa"/>
            <w:vMerge/>
            <w:tcBorders>
              <w:top w:val="nil"/>
            </w:tcBorders>
          </w:tcPr>
          <w:p w:rsidR="00674013" w:rsidRDefault="00674013">
            <w:pPr>
              <w:ind w:firstLineChars="200" w:firstLine="420"/>
              <w:jc w:val="left"/>
              <w:rPr>
                <w:szCs w:val="21"/>
              </w:rPr>
            </w:pPr>
          </w:p>
        </w:tc>
        <w:tc>
          <w:tcPr>
            <w:tcW w:w="1541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84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非全日制</w:t>
            </w:r>
          </w:p>
        </w:tc>
        <w:tc>
          <w:tcPr>
            <w:tcW w:w="1459" w:type="dxa"/>
          </w:tcPr>
          <w:p w:rsidR="00674013" w:rsidRDefault="004E20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法律（法学）</w:t>
            </w:r>
          </w:p>
        </w:tc>
        <w:tc>
          <w:tcPr>
            <w:tcW w:w="656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33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2.4</w:t>
            </w:r>
          </w:p>
        </w:tc>
        <w:tc>
          <w:tcPr>
            <w:tcW w:w="1622" w:type="dxa"/>
          </w:tcPr>
          <w:p w:rsidR="00674013" w:rsidRDefault="004E2012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</w:tr>
    </w:tbl>
    <w:p w:rsidR="00674013" w:rsidRDefault="00674013">
      <w:pPr>
        <w:ind w:firstLineChars="200" w:firstLine="480"/>
        <w:rPr>
          <w:sz w:val="24"/>
        </w:rPr>
      </w:pPr>
    </w:p>
    <w:p w:rsidR="00674013" w:rsidRDefault="00674013">
      <w:pPr>
        <w:ind w:firstLineChars="200" w:firstLine="480"/>
        <w:rPr>
          <w:sz w:val="24"/>
        </w:rPr>
      </w:pP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255270</wp:posOffset>
            </wp:positionV>
            <wp:extent cx="3071495" cy="2303780"/>
            <wp:effectExtent l="0" t="0" r="14605" b="1270"/>
            <wp:wrapTopAndBottom/>
            <wp:docPr id="2" name="图片 2" descr="微信图片_2019021712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2171213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013" w:rsidRDefault="00674013">
      <w:pPr>
        <w:ind w:firstLineChars="200" w:firstLine="480"/>
        <w:rPr>
          <w:sz w:val="24"/>
        </w:rPr>
      </w:pP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229235</wp:posOffset>
            </wp:positionV>
            <wp:extent cx="3096260" cy="2064385"/>
            <wp:effectExtent l="0" t="0" r="8890" b="12065"/>
            <wp:wrapTopAndBottom/>
            <wp:docPr id="3" name="图片 3" descr="微信图片_2019021712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2171213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013" w:rsidRDefault="00674013">
      <w:pPr>
        <w:ind w:firstLineChars="200" w:firstLine="480"/>
        <w:rPr>
          <w:sz w:val="24"/>
        </w:rPr>
      </w:pPr>
    </w:p>
    <w:p w:rsidR="00674013" w:rsidRDefault="00674013">
      <w:pPr>
        <w:ind w:firstLineChars="200" w:firstLine="480"/>
        <w:rPr>
          <w:sz w:val="24"/>
        </w:rPr>
      </w:pP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32385</wp:posOffset>
            </wp:positionV>
            <wp:extent cx="2140585" cy="2140585"/>
            <wp:effectExtent l="0" t="0" r="12065" b="12065"/>
            <wp:wrapTopAndBottom/>
            <wp:docPr id="4" name="图片 4" descr="微信图片_2019021711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2171144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  <w:r>
        <w:rPr>
          <w:rFonts w:hint="eastAsia"/>
          <w:sz w:val="24"/>
        </w:rPr>
        <w:t>裴</w:t>
      </w:r>
      <w:r>
        <w:rPr>
          <w:rFonts w:hint="eastAsia"/>
          <w:sz w:val="24"/>
        </w:rPr>
        <w:t>老师</w:t>
      </w:r>
    </w:p>
    <w:p w:rsidR="00674013" w:rsidRDefault="004E2012">
      <w:pPr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邮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箱：</w:t>
      </w:r>
      <w:r>
        <w:rPr>
          <w:rFonts w:hint="eastAsia"/>
          <w:sz w:val="24"/>
        </w:rPr>
        <w:t>286403638@qq.com</w:t>
      </w:r>
    </w:p>
    <w:p w:rsidR="00674013" w:rsidRDefault="004E201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咨询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0532-85955971</w:t>
      </w:r>
    </w:p>
    <w:p w:rsidR="00674013" w:rsidRDefault="00674013">
      <w:pPr>
        <w:ind w:firstLineChars="200" w:firstLine="480"/>
        <w:rPr>
          <w:sz w:val="24"/>
        </w:rPr>
      </w:pPr>
    </w:p>
    <w:p w:rsidR="00674013" w:rsidRDefault="00674013">
      <w:pPr>
        <w:ind w:firstLineChars="200" w:firstLine="480"/>
        <w:rPr>
          <w:sz w:val="24"/>
        </w:rPr>
      </w:pPr>
    </w:p>
    <w:p w:rsidR="00674013" w:rsidRDefault="00674013">
      <w:pPr>
        <w:ind w:firstLineChars="200" w:firstLine="480"/>
        <w:rPr>
          <w:sz w:val="24"/>
        </w:rPr>
      </w:pPr>
    </w:p>
    <w:p w:rsidR="00674013" w:rsidRDefault="004E2012">
      <w:pPr>
        <w:ind w:firstLineChars="200" w:firstLine="560"/>
        <w:jc w:val="center"/>
        <w:rPr>
          <w:rFonts w:ascii="隶书" w:eastAsia="隶书" w:hAnsi="隶书" w:cs="隶书"/>
          <w:sz w:val="28"/>
          <w:szCs w:val="28"/>
        </w:rPr>
      </w:pPr>
      <w:r>
        <w:rPr>
          <w:rFonts w:ascii="隶书" w:eastAsia="隶书" w:hAnsi="隶书" w:cs="隶书" w:hint="eastAsia"/>
          <w:sz w:val="28"/>
          <w:szCs w:val="28"/>
        </w:rPr>
        <w:t>法学院部分知名学者</w:t>
      </w:r>
    </w:p>
    <w:p w:rsidR="00674013" w:rsidRDefault="00674013">
      <w:pPr>
        <w:ind w:firstLineChars="200" w:firstLine="480"/>
        <w:rPr>
          <w:rFonts w:ascii="隶书" w:eastAsia="隶书" w:hAnsi="隶书" w:cs="隶书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汪岚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华中科技大学法医学系本科、硕士和博士研究生毕业，教授，主任法医师，诉讼法学、法医学硕士生导师，诉讼法学科带头人，物证技术与</w:t>
      </w:r>
      <w:proofErr w:type="gramStart"/>
      <w:r>
        <w:rPr>
          <w:rFonts w:ascii="宋体" w:eastAsia="宋体" w:hAnsi="宋体" w:cs="宋体" w:hint="eastAsia"/>
          <w:sz w:val="24"/>
        </w:rPr>
        <w:t>应用省</w:t>
      </w:r>
      <w:proofErr w:type="gramEnd"/>
      <w:r>
        <w:rPr>
          <w:rFonts w:ascii="宋体" w:eastAsia="宋体" w:hAnsi="宋体" w:cs="宋体" w:hint="eastAsia"/>
          <w:sz w:val="24"/>
        </w:rPr>
        <w:t>重点实验室主任，山东政法学院特聘教授、兼职法医学鉴定人，教育部、博士后基金委和国家社科基金项目通信评审专家，青岛大学学报（医学版）审稿专家，山东省、青岛市检察院特聘专家，刘良工作室学术委员会委员。主持国家级、省部级和特色名校建设项目，专业学术论文</w:t>
      </w:r>
      <w:r>
        <w:rPr>
          <w:rFonts w:ascii="宋体" w:eastAsia="宋体" w:hAnsi="宋体" w:cs="宋体" w:hint="eastAsia"/>
          <w:sz w:val="24"/>
        </w:rPr>
        <w:t>26</w:t>
      </w:r>
      <w:r>
        <w:rPr>
          <w:rFonts w:ascii="宋体" w:eastAsia="宋体" w:hAnsi="宋体" w:cs="宋体" w:hint="eastAsia"/>
          <w:sz w:val="24"/>
        </w:rPr>
        <w:t>篇，成果被国家标准采用一项，获省级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等奖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一项。主持“视残疾鉴定标准体系研究”项目。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邮箱</w:t>
      </w:r>
      <w:r>
        <w:rPr>
          <w:rFonts w:ascii="宋体" w:eastAsia="宋体" w:hAnsi="宋体" w:cs="宋体" w:hint="eastAsia"/>
          <w:sz w:val="24"/>
        </w:rPr>
        <w:t>enidwang@qdu.edu.cn</w:t>
      </w:r>
    </w:p>
    <w:p w:rsidR="00674013" w:rsidRDefault="00674013">
      <w:pPr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杜</w:t>
      </w:r>
      <w:r>
        <w:rPr>
          <w:rFonts w:ascii="宋体" w:eastAsia="宋体" w:hAnsi="宋体" w:cs="宋体" w:hint="eastAsia"/>
          <w:sz w:val="24"/>
        </w:rPr>
        <w:t>靖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山东大学文学学士、湘潭大学文学硕士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（民俗学）、中央民族大学文化人类学博士、中国科学院古脊椎动物与古人类研究所古生物与地层学（古人类学方向）博士后。青岛大学法学院人类学教授，是中国大陆最近</w:t>
      </w:r>
      <w:r>
        <w:rPr>
          <w:rFonts w:ascii="宋体" w:eastAsia="宋体" w:hAnsi="宋体" w:cs="宋体" w:hint="eastAsia"/>
          <w:sz w:val="24"/>
        </w:rPr>
        <w:t>60</w:t>
      </w:r>
      <w:r>
        <w:rPr>
          <w:rFonts w:ascii="宋体" w:eastAsia="宋体" w:hAnsi="宋体" w:cs="宋体" w:hint="eastAsia"/>
          <w:sz w:val="24"/>
        </w:rPr>
        <w:t>年来唯一的文化人类学和体质人类学兼修兼为的学人。主持“百年中国体质人类学史”项目。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董和平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著名宪法学家，青岛大学法学院教授、博士生导师，青岛市人大常委会委员。兼任中国宪法学研究会副会长、国际宪法学协会理事；山东省法学会副会长、山东省法官检察官惩戒委员会委员、山东省本科教育教学指导委员会委员；青岛市法治青岛建设研究会会长、青岛市法治智库负责人。美国哥伦比亚大学、英国牛</w:t>
      </w:r>
      <w:r>
        <w:rPr>
          <w:rFonts w:ascii="宋体" w:eastAsia="宋体" w:hAnsi="宋体" w:cs="宋体" w:hint="eastAsia"/>
          <w:sz w:val="24"/>
        </w:rPr>
        <w:lastRenderedPageBreak/>
        <w:t>津大学、澳大利亚墨尔本大学、瑞典隆德大学高级访问学者。乌克兰哈尔科夫大学兼职教授。董和平教授长期从事宪法学教学与研究，主要研究领域是宪法学原理和中国宪法改革问题，共计出版著作教材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部，在《中国法学》、《法律科学》等权威法学核心期刊发</w:t>
      </w:r>
      <w:r>
        <w:rPr>
          <w:rFonts w:ascii="宋体" w:eastAsia="宋体" w:hAnsi="宋体" w:cs="宋体" w:hint="eastAsia"/>
          <w:sz w:val="24"/>
        </w:rPr>
        <w:t>表学术论文</w:t>
      </w:r>
      <w:r>
        <w:rPr>
          <w:rFonts w:ascii="宋体" w:eastAsia="宋体" w:hAnsi="宋体" w:cs="宋体" w:hint="eastAsia"/>
          <w:sz w:val="24"/>
        </w:rPr>
        <w:t>93</w:t>
      </w:r>
      <w:r>
        <w:rPr>
          <w:rFonts w:ascii="宋体" w:eastAsia="宋体" w:hAnsi="宋体" w:cs="宋体" w:hint="eastAsia"/>
          <w:sz w:val="24"/>
        </w:rPr>
        <w:t>篇；主持国家社科基金重点项目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项，国家社科基金一般项目和青年项目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项，获得国家级、省部级和校级奖励</w:t>
      </w:r>
      <w:r>
        <w:rPr>
          <w:rFonts w:ascii="宋体" w:eastAsia="宋体" w:hAnsi="宋体" w:cs="宋体" w:hint="eastAsia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项。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联系方式：</w:t>
      </w:r>
      <w:r>
        <w:rPr>
          <w:rFonts w:ascii="宋体" w:eastAsia="宋体" w:hAnsi="宋体" w:cs="宋体" w:hint="eastAsia"/>
          <w:sz w:val="24"/>
        </w:rPr>
        <w:t>chinadhp9@163.com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蔡颖雯（现任院长）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中国人民</w:t>
      </w:r>
      <w:proofErr w:type="gramStart"/>
      <w:r>
        <w:rPr>
          <w:rFonts w:ascii="宋体" w:eastAsia="宋体" w:hAnsi="宋体" w:cs="宋体" w:hint="eastAsia"/>
          <w:sz w:val="24"/>
        </w:rPr>
        <w:t>大学民商法学</w:t>
      </w:r>
      <w:proofErr w:type="gramEnd"/>
      <w:r>
        <w:rPr>
          <w:rFonts w:ascii="宋体" w:eastAsia="宋体" w:hAnsi="宋体" w:cs="宋体" w:hint="eastAsia"/>
          <w:sz w:val="24"/>
        </w:rPr>
        <w:t>博士。青岛大学法学院教授，硕士生导师，入选青岛大学首批青年卓越人才。</w:t>
      </w:r>
      <w:r>
        <w:rPr>
          <w:rFonts w:ascii="宋体" w:eastAsia="宋体" w:hAnsi="宋体" w:cs="宋体" w:hint="eastAsia"/>
          <w:sz w:val="24"/>
        </w:rPr>
        <w:t>2019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月任青岛大学法学院代理院长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兼任：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中国民法学研究会理事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中国人民</w:t>
      </w:r>
      <w:proofErr w:type="gramStart"/>
      <w:r>
        <w:rPr>
          <w:rFonts w:ascii="宋体" w:eastAsia="宋体" w:hAnsi="宋体" w:cs="宋体" w:hint="eastAsia"/>
          <w:sz w:val="24"/>
        </w:rPr>
        <w:t>大学民</w:t>
      </w:r>
      <w:proofErr w:type="gramEnd"/>
      <w:r>
        <w:rPr>
          <w:rFonts w:ascii="宋体" w:eastAsia="宋体" w:hAnsi="宋体" w:cs="宋体" w:hint="eastAsia"/>
          <w:sz w:val="24"/>
        </w:rPr>
        <w:t>商事法律科学研究中心兼职研究员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山东省法学会民法学研究会常务理事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民建青岛市委监督委员会委员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青岛市人民检察院专家咨询委员会委员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青岛仲裁委员会仲裁</w:t>
      </w:r>
      <w:r>
        <w:rPr>
          <w:rFonts w:ascii="宋体" w:eastAsia="宋体" w:hAnsi="宋体" w:cs="宋体" w:hint="eastAsia"/>
          <w:sz w:val="24"/>
        </w:rPr>
        <w:t>员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耿焰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川外国语大学文学学士，中国社会科学院法学硕士，山东大学宪法学与行政法学专业法学博士，教授，硕士生导师，中国法理学研究会理事，中国司法研究会民族法制文化专业研究委员会常务理事，国家社科基金项目通信评审专家。日本下关大学访问学者，多伦多大学访问学者。专注于宪法学与行政法学和法学理论的研究，在人民出版社、法律出版社出版学术专著两部，在《政法论坛》、《政治与法律》等期刊发表专业论文三十篇，多篇被人大复印资料等转载收录。主持省部级课题多项，获省部级科研成果奖多项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邮箱：</w:t>
      </w:r>
      <w:r>
        <w:rPr>
          <w:rFonts w:ascii="宋体" w:eastAsia="宋体" w:hAnsi="宋体" w:cs="宋体" w:hint="eastAsia"/>
          <w:sz w:val="24"/>
        </w:rPr>
        <w:t>13326391001@126.</w:t>
      </w:r>
      <w:r>
        <w:rPr>
          <w:rFonts w:ascii="宋体" w:eastAsia="宋体" w:hAnsi="宋体" w:cs="宋体" w:hint="eastAsia"/>
          <w:sz w:val="24"/>
        </w:rPr>
        <w:t>com</w:t>
      </w:r>
    </w:p>
    <w:p w:rsidR="00674013" w:rsidRDefault="00674013">
      <w:pPr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唐伟华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法学博士，教授、硕士研究生导师，瑞士比较法研究所（</w:t>
      </w:r>
      <w:proofErr w:type="spellStart"/>
      <w:r>
        <w:rPr>
          <w:rFonts w:ascii="宋体" w:eastAsia="宋体" w:hAnsi="宋体" w:cs="宋体" w:hint="eastAsia"/>
          <w:sz w:val="24"/>
        </w:rPr>
        <w:t>isdc</w:t>
      </w:r>
      <w:proofErr w:type="spellEnd"/>
      <w:r>
        <w:rPr>
          <w:rFonts w:ascii="宋体" w:eastAsia="宋体" w:hAnsi="宋体" w:cs="宋体" w:hint="eastAsia"/>
          <w:sz w:val="24"/>
        </w:rPr>
        <w:t>）访问学者。现为青岛大学法学院法理法史教研室主任、法律史学科团队负责人，中国法律史学会理事、山东省法学会法律史研究会常务理事、青岛法学会理事。独立及以第一作者身份出版学术专著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部，在《清史研究》、《国家行政学院学报》等刊物发表论文多篇。主持国家自然科学基金软课题项目多项。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邮箱：</w:t>
      </w:r>
      <w:r>
        <w:rPr>
          <w:rFonts w:ascii="宋体" w:eastAsia="宋体" w:hAnsi="宋体" w:cs="宋体" w:hint="eastAsia"/>
          <w:sz w:val="24"/>
        </w:rPr>
        <w:t>weihua444@163.com</w:t>
      </w:r>
    </w:p>
    <w:p w:rsidR="00674013" w:rsidRDefault="00674013">
      <w:pPr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李瑞生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授，硕士生导师，刑法学学科负责人，青岛大学法学院疆域安全研究中心主任。兼任中国犯罪学研究会犯罪预防对策委员会常务理事、青岛金融消费权益保护协会秘书长、平度市人民检察院专家咨询委员、青岛市人民检察院专家咨询委员。西北政法学院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现西北政法学院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刑法学硕士、北京大学刑法学博士。主要研究领域为刑法学、犯罪学、监狱学。出版著作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部，发表学术论文</w:t>
      </w:r>
      <w:r>
        <w:rPr>
          <w:rFonts w:ascii="宋体" w:eastAsia="宋体" w:hAnsi="宋体" w:cs="宋体" w:hint="eastAsia"/>
          <w:sz w:val="24"/>
        </w:rPr>
        <w:t>61</w:t>
      </w:r>
      <w:r>
        <w:rPr>
          <w:rFonts w:ascii="宋体" w:eastAsia="宋体" w:hAnsi="宋体" w:cs="宋体" w:hint="eastAsia"/>
          <w:sz w:val="24"/>
        </w:rPr>
        <w:t>篇；获省部级奖励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项，厅局级奖励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项；主持完成国家社科基金项目等课题多项。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邮箱：</w:t>
      </w:r>
      <w:r>
        <w:rPr>
          <w:rFonts w:ascii="宋体" w:eastAsia="宋体" w:hAnsi="宋体" w:cs="宋体" w:hint="eastAsia"/>
          <w:sz w:val="24"/>
        </w:rPr>
        <w:t>lrs@pku.edu.cn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门中敬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法学博士。现任青岛大学教授、特聘教授、硕士研究生</w:t>
      </w:r>
      <w:r>
        <w:rPr>
          <w:rFonts w:ascii="宋体" w:eastAsia="宋体" w:hAnsi="宋体" w:cs="宋体" w:hint="eastAsia"/>
          <w:sz w:val="24"/>
        </w:rPr>
        <w:t>导师。曾任青岛大学法学院法律系副主任、教研室主任、宪法与行政法学科团队负责人、法律系教工党支部书记。</w:t>
      </w:r>
    </w:p>
    <w:p w:rsidR="00674013" w:rsidRDefault="00674013">
      <w:pPr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朴</w:t>
      </w:r>
      <w:proofErr w:type="gramEnd"/>
      <w:r>
        <w:rPr>
          <w:rFonts w:ascii="宋体" w:eastAsia="宋体" w:hAnsi="宋体" w:cs="宋体" w:hint="eastAsia"/>
          <w:sz w:val="24"/>
        </w:rPr>
        <w:t>成日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吉林省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延边大学法学学士，京都大学大学院法学硕士、法学博士，青岛大学副教授，硕士生导师。日本京都大学大学院法学研究科文部科学教官（</w:t>
      </w:r>
      <w:r>
        <w:rPr>
          <w:rFonts w:ascii="宋体" w:eastAsia="宋体" w:hAnsi="宋体" w:cs="宋体" w:hint="eastAsia"/>
          <w:sz w:val="24"/>
        </w:rPr>
        <w:t>2002-2003</w:t>
      </w:r>
      <w:r>
        <w:rPr>
          <w:rFonts w:ascii="宋体" w:eastAsia="宋体" w:hAnsi="宋体" w:cs="宋体" w:hint="eastAsia"/>
          <w:sz w:val="24"/>
        </w:rPr>
        <w:t>）、日本京都大学大学院法学研究科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世纪</w:t>
      </w:r>
      <w:r>
        <w:rPr>
          <w:rFonts w:ascii="宋体" w:eastAsia="宋体" w:hAnsi="宋体" w:cs="宋体" w:hint="eastAsia"/>
          <w:sz w:val="24"/>
        </w:rPr>
        <w:t>Center Of Excellence</w:t>
      </w:r>
      <w:r>
        <w:rPr>
          <w:rFonts w:ascii="宋体" w:eastAsia="宋体" w:hAnsi="宋体" w:cs="宋体" w:hint="eastAsia"/>
          <w:sz w:val="24"/>
        </w:rPr>
        <w:t>研究员（</w:t>
      </w:r>
      <w:r>
        <w:rPr>
          <w:rFonts w:ascii="宋体" w:eastAsia="宋体" w:hAnsi="宋体" w:cs="宋体" w:hint="eastAsia"/>
          <w:sz w:val="24"/>
        </w:rPr>
        <w:t>2005-2006</w:t>
      </w:r>
      <w:r>
        <w:rPr>
          <w:rFonts w:ascii="宋体" w:eastAsia="宋体" w:hAnsi="宋体" w:cs="宋体" w:hint="eastAsia"/>
          <w:sz w:val="24"/>
        </w:rPr>
        <w:t>）、青岛市仲裁员（</w:t>
      </w:r>
      <w:r>
        <w:rPr>
          <w:rFonts w:ascii="宋体" w:eastAsia="宋体" w:hAnsi="宋体" w:cs="宋体" w:hint="eastAsia"/>
          <w:sz w:val="24"/>
        </w:rPr>
        <w:t>2014-2018</w:t>
      </w:r>
      <w:r>
        <w:rPr>
          <w:rFonts w:ascii="宋体" w:eastAsia="宋体" w:hAnsi="宋体" w:cs="宋体" w:hint="eastAsia"/>
          <w:sz w:val="24"/>
        </w:rPr>
        <w:t>）。主持</w:t>
      </w:r>
      <w:r>
        <w:rPr>
          <w:rFonts w:ascii="宋体" w:eastAsia="宋体" w:hAnsi="宋体" w:cs="宋体" w:hint="eastAsia"/>
          <w:sz w:val="24"/>
        </w:rPr>
        <w:t>2015</w:t>
      </w:r>
      <w:r>
        <w:rPr>
          <w:rFonts w:ascii="宋体" w:eastAsia="宋体" w:hAnsi="宋体" w:cs="宋体" w:hint="eastAsia"/>
          <w:sz w:val="24"/>
        </w:rPr>
        <w:t>年教育部人文社会科学规划基金项目，“日本刑事犯罪中老年受害者权益保障机制研究”。在国内外发表了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篇论文。主要研究法社会学、法理学、诉讼法学。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邮箱：</w:t>
      </w:r>
      <w:r>
        <w:rPr>
          <w:rFonts w:ascii="宋体" w:eastAsia="宋体" w:hAnsi="宋体" w:cs="宋体" w:hint="eastAsia"/>
          <w:sz w:val="24"/>
        </w:rPr>
        <w:t>pcrkcj@163.com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郝海青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学博士，副教授，硕士研究生导师，青岛大学青年卓越人才。获得青岛大学三八红旗手和青岛大学优秀班主任称号。荷兰莱顿大学访问学者，曾在海牙国际法学院学习进修。主持国家社会科学基金项目《碳排放权交易制度中的国际法问题研究》，山东省社科规划重点项目和青年项目各一项，青岛市双百工程项目一项，参与国家社科、山东省、青岛市社科项目及青岛市国资委、青岛市海事局等横向项目共十余项。出版专著一部，在专业核心期刊发表学术论文二十余篇。</w:t>
      </w:r>
      <w:r>
        <w:rPr>
          <w:rFonts w:ascii="宋体" w:eastAsia="宋体" w:hAnsi="宋体" w:cs="宋体" w:hint="eastAsia"/>
          <w:sz w:val="24"/>
        </w:rPr>
        <w:t>主要研究领域为国际经济法、环境与资源保护法、国际法、</w:t>
      </w:r>
      <w:r>
        <w:rPr>
          <w:rFonts w:ascii="宋体" w:eastAsia="宋体" w:hAnsi="宋体" w:cs="宋体" w:hint="eastAsia"/>
          <w:sz w:val="24"/>
        </w:rPr>
        <w:t>WTO</w:t>
      </w:r>
      <w:r>
        <w:rPr>
          <w:rFonts w:ascii="宋体" w:eastAsia="宋体" w:hAnsi="宋体" w:cs="宋体" w:hint="eastAsia"/>
          <w:sz w:val="24"/>
        </w:rPr>
        <w:t>法律制度。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邮箱：</w:t>
      </w:r>
      <w:r>
        <w:rPr>
          <w:rFonts w:ascii="宋体" w:eastAsia="宋体" w:hAnsi="宋体" w:cs="宋体" w:hint="eastAsia"/>
          <w:sz w:val="24"/>
        </w:rPr>
        <w:t>haiqinghao2012@163.com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丁燕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国人民大学经济法学博士，华东政法大学经济法学博士后，台湾大学法律学院访问学者。现为青岛大学法学院副教授，硕士生导师，破产法研究中心主任。主要研究方向为经济法、商法，学术专长为公司法、破产法与金融法。曾入选高等学校与法律实务部门人员互聘的全国“双千计划”和山东省“双百计划”人才，在青岛市中级人民法院挂职院长助理一年。连续三批次（含首批）入选青岛大学青年卓越人才。曾入选中国共产党青</w:t>
      </w:r>
      <w:r>
        <w:rPr>
          <w:rFonts w:ascii="宋体" w:eastAsia="宋体" w:hAnsi="宋体" w:cs="宋体" w:hint="eastAsia"/>
          <w:sz w:val="24"/>
        </w:rPr>
        <w:t>岛市第十二次代表大会代表候选人初步人选。曾获青岛大学教学优秀奖。兼任青岛、天津、重庆等多家仲裁委员会仲裁员，中国人民大学破产法研究中心研究员，山东省法学会企业破产与重组研究会常务理事与智库专家，北京市破产法学会理事，青岛市工商联参政议政委员会委员，青岛市国际化城市战略专家咨询委员会委员，青岛市市北区政府专家咨询委员会委员，青岛市市南区青年联合会第六届委员会委员。主持国家社科项目、中国博士后基金资助项目、中国法学会课题及市厅级项目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项。出版专著及教材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部，专著《上市公司破产重整计划法律问题研究：理念、规则与实</w:t>
      </w:r>
      <w:r>
        <w:rPr>
          <w:rFonts w:ascii="宋体" w:eastAsia="宋体" w:hAnsi="宋体" w:cs="宋体" w:hint="eastAsia"/>
          <w:sz w:val="24"/>
        </w:rPr>
        <w:t>证》，获省社科优秀成果三等奖、省法学会优秀成果奖一等奖。在《法学论坛》、《政治与法律》、《法学杂志》、《中国社会科学报》上发表学术论文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余篇。</w:t>
      </w: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电子邮箱：</w:t>
      </w:r>
      <w:r>
        <w:rPr>
          <w:rFonts w:ascii="宋体" w:eastAsia="宋体" w:hAnsi="宋体" w:cs="宋体" w:hint="eastAsia"/>
          <w:sz w:val="24"/>
        </w:rPr>
        <w:t>dingyan66@163.com</w:t>
      </w:r>
    </w:p>
    <w:p w:rsidR="00674013" w:rsidRDefault="00674013">
      <w:pPr>
        <w:ind w:firstLineChars="200" w:firstLine="480"/>
        <w:rPr>
          <w:rFonts w:ascii="宋体" w:eastAsia="宋体" w:hAnsi="宋体" w:cs="宋体"/>
          <w:sz w:val="24"/>
        </w:rPr>
      </w:pPr>
    </w:p>
    <w:p w:rsidR="00674013" w:rsidRDefault="004E2012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法学院的事业历经</w:t>
      </w:r>
      <w:r>
        <w:rPr>
          <w:rFonts w:ascii="宋体" w:eastAsia="宋体" w:hAnsi="宋体" w:cs="宋体" w:hint="eastAsia"/>
          <w:sz w:val="24"/>
        </w:rPr>
        <w:t>35</w:t>
      </w:r>
      <w:r>
        <w:rPr>
          <w:rFonts w:ascii="宋体" w:eastAsia="宋体" w:hAnsi="宋体" w:cs="宋体" w:hint="eastAsia"/>
          <w:sz w:val="24"/>
        </w:rPr>
        <w:t>年的发展，到了新的发展机遇期。当前，我们的首要任务是：共同</w:t>
      </w:r>
      <w:proofErr w:type="gramStart"/>
      <w:r>
        <w:rPr>
          <w:rFonts w:ascii="宋体" w:eastAsia="宋体" w:hAnsi="宋体" w:cs="宋体" w:hint="eastAsia"/>
          <w:sz w:val="24"/>
        </w:rPr>
        <w:t>研</w:t>
      </w:r>
      <w:proofErr w:type="gramEnd"/>
      <w:r>
        <w:rPr>
          <w:rFonts w:ascii="宋体" w:eastAsia="宋体" w:hAnsi="宋体" w:cs="宋体" w:hint="eastAsia"/>
          <w:sz w:val="24"/>
        </w:rPr>
        <w:t>判我们面临的形式，分析学院的历史与现状、成绩与问题、机遇</w:t>
      </w:r>
      <w:r>
        <w:rPr>
          <w:rFonts w:ascii="宋体" w:eastAsia="宋体" w:hAnsi="宋体" w:cs="宋体" w:hint="eastAsia"/>
          <w:sz w:val="24"/>
        </w:rPr>
        <w:lastRenderedPageBreak/>
        <w:t>与挑战，共同谋划未来的战略与布局，凝心聚力，励精图治，坚持立德树人，按照学校第三次党代会“</w:t>
      </w:r>
      <w:proofErr w:type="gramStart"/>
      <w:r>
        <w:rPr>
          <w:rFonts w:ascii="宋体" w:eastAsia="宋体" w:hAnsi="宋体" w:cs="宋体" w:hint="eastAsia"/>
          <w:sz w:val="24"/>
        </w:rPr>
        <w:t>一三五五十</w:t>
      </w:r>
      <w:proofErr w:type="gramEnd"/>
      <w:r>
        <w:rPr>
          <w:rFonts w:ascii="宋体" w:eastAsia="宋体" w:hAnsi="宋体" w:cs="宋体" w:hint="eastAsia"/>
          <w:sz w:val="24"/>
        </w:rPr>
        <w:t>”的总体布局，和省市“狠抓落实”的要求，树立真干实干的工作作风，尽可能推动学院各项</w:t>
      </w:r>
      <w:r>
        <w:rPr>
          <w:rFonts w:ascii="宋体" w:eastAsia="宋体" w:hAnsi="宋体" w:cs="宋体" w:hint="eastAsia"/>
          <w:sz w:val="24"/>
        </w:rPr>
        <w:t>事业的发展步入快车道，争取走进学校事业发展的先进行列，建设满足区域经济发展需求的一流法学院。</w:t>
      </w:r>
    </w:p>
    <w:p w:rsidR="00674013" w:rsidRDefault="00674013">
      <w:pPr>
        <w:ind w:firstLineChars="200" w:firstLine="480"/>
        <w:rPr>
          <w:rFonts w:ascii="隶书" w:eastAsia="隶书" w:hAnsi="隶书" w:cs="隶书"/>
          <w:sz w:val="24"/>
        </w:rPr>
      </w:pPr>
    </w:p>
    <w:p w:rsidR="00674013" w:rsidRDefault="00674013">
      <w:pPr>
        <w:ind w:firstLineChars="200" w:firstLine="480"/>
        <w:rPr>
          <w:rFonts w:ascii="隶书" w:eastAsia="隶书" w:hAnsi="隶书" w:cs="隶书"/>
          <w:sz w:val="24"/>
        </w:rPr>
      </w:pPr>
    </w:p>
    <w:p w:rsidR="00674013" w:rsidRDefault="00674013">
      <w:pPr>
        <w:ind w:firstLineChars="200" w:firstLine="480"/>
        <w:rPr>
          <w:rFonts w:ascii="隶书" w:eastAsia="隶书" w:hAnsi="隶书" w:cs="隶书"/>
          <w:sz w:val="24"/>
        </w:rPr>
      </w:pPr>
    </w:p>
    <w:p w:rsidR="00674013" w:rsidRDefault="00674013">
      <w:pPr>
        <w:ind w:firstLineChars="200" w:firstLine="480"/>
        <w:rPr>
          <w:rFonts w:ascii="隶书" w:eastAsia="隶书" w:hAnsi="隶书" w:cs="隶书"/>
          <w:sz w:val="24"/>
        </w:rPr>
      </w:pPr>
    </w:p>
    <w:sectPr w:rsidR="0067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12" w:rsidRDefault="004E2012" w:rsidP="00CF3644">
      <w:r>
        <w:separator/>
      </w:r>
    </w:p>
  </w:endnote>
  <w:endnote w:type="continuationSeparator" w:id="0">
    <w:p w:rsidR="004E2012" w:rsidRDefault="004E2012" w:rsidP="00CF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12" w:rsidRDefault="004E2012" w:rsidP="00CF3644">
      <w:r>
        <w:separator/>
      </w:r>
    </w:p>
  </w:footnote>
  <w:footnote w:type="continuationSeparator" w:id="0">
    <w:p w:rsidR="004E2012" w:rsidRDefault="004E2012" w:rsidP="00CF3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429A"/>
    <w:rsid w:val="004E2012"/>
    <w:rsid w:val="00674013"/>
    <w:rsid w:val="00CF3644"/>
    <w:rsid w:val="017543FB"/>
    <w:rsid w:val="192E1888"/>
    <w:rsid w:val="1E2565E8"/>
    <w:rsid w:val="27515CE5"/>
    <w:rsid w:val="295A429A"/>
    <w:rsid w:val="2A372EFB"/>
    <w:rsid w:val="40642BA4"/>
    <w:rsid w:val="414F1282"/>
    <w:rsid w:val="418C615A"/>
    <w:rsid w:val="463727BA"/>
    <w:rsid w:val="49F73425"/>
    <w:rsid w:val="4E737C11"/>
    <w:rsid w:val="556B05F5"/>
    <w:rsid w:val="5C8B6105"/>
    <w:rsid w:val="639C6D8E"/>
    <w:rsid w:val="6B1336C0"/>
    <w:rsid w:val="75414297"/>
    <w:rsid w:val="78A70FF0"/>
    <w:rsid w:val="79AD40E0"/>
    <w:rsid w:val="79DA5105"/>
    <w:rsid w:val="7C09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1"/>
      <w:ind w:left="618"/>
      <w:outlineLvl w:val="0"/>
    </w:pPr>
    <w:rPr>
      <w:rFonts w:ascii="宋体" w:eastAsia="宋体" w:hAnsi="宋体" w:cs="宋体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rFonts w:ascii="宋体" w:eastAsia="宋体" w:hAnsi="宋体" w:cs="宋体"/>
      <w:sz w:val="24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71"/>
      <w:ind w:left="107"/>
      <w:jc w:val="center"/>
    </w:pPr>
    <w:rPr>
      <w:rFonts w:ascii="宋体" w:eastAsia="宋体" w:hAnsi="宋体" w:cs="宋体"/>
      <w:lang w:val="zh-CN" w:bidi="zh-CN"/>
    </w:rPr>
  </w:style>
  <w:style w:type="paragraph" w:styleId="a6">
    <w:name w:val="header"/>
    <w:basedOn w:val="a"/>
    <w:link w:val="Char"/>
    <w:rsid w:val="00CF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F36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F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F36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1"/>
      <w:ind w:left="618"/>
      <w:outlineLvl w:val="0"/>
    </w:pPr>
    <w:rPr>
      <w:rFonts w:ascii="宋体" w:eastAsia="宋体" w:hAnsi="宋体" w:cs="宋体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rFonts w:ascii="宋体" w:eastAsia="宋体" w:hAnsi="宋体" w:cs="宋体"/>
      <w:sz w:val="24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spacing w:before="71"/>
      <w:ind w:left="107"/>
      <w:jc w:val="center"/>
    </w:pPr>
    <w:rPr>
      <w:rFonts w:ascii="宋体" w:eastAsia="宋体" w:hAnsi="宋体" w:cs="宋体"/>
      <w:lang w:val="zh-CN" w:bidi="zh-CN"/>
    </w:rPr>
  </w:style>
  <w:style w:type="paragraph" w:styleId="a6">
    <w:name w:val="header"/>
    <w:basedOn w:val="a"/>
    <w:link w:val="Char"/>
    <w:rsid w:val="00CF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F36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CF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F36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0010;&#20154;&#20449;&#24687;&#65288;&#22914;&#19979;&#65289;&#21457;&#36865;&#33267;286403638@qq.com&#37038;&#31665;&#12290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692</Words>
  <Characters>3949</Characters>
  <Application>Microsoft Office Word</Application>
  <DocSecurity>0</DocSecurity>
  <Lines>32</Lines>
  <Paragraphs>9</Paragraphs>
  <ScaleCrop>false</ScaleCrop>
  <Company>MOE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mwd</dc:creator>
  <cp:lastModifiedBy>Windows 用户</cp:lastModifiedBy>
  <cp:revision>2</cp:revision>
  <dcterms:created xsi:type="dcterms:W3CDTF">2019-02-17T02:05:00Z</dcterms:created>
  <dcterms:modified xsi:type="dcterms:W3CDTF">2019-02-21T03:28:00Z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KSORubyTemplateID" linkTarget="0">
    <vt:lpwstr>6</vt:lpwstr>
  </property>
</Properties>
</file>