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C7" w:rsidRDefault="00E950C7">
      <w:pPr>
        <w:pStyle w:val="NormalWeb"/>
        <w:snapToGrid w:val="0"/>
        <w:spacing w:before="0" w:beforeAutospacing="0" w:after="0" w:afterAutospacing="0" w:line="360" w:lineRule="auto"/>
        <w:jc w:val="center"/>
        <w:rPr>
          <w:rFonts w:cs="Times New Roman"/>
          <w:b/>
          <w:bCs/>
          <w:color w:val="000000"/>
          <w:sz w:val="32"/>
          <w:szCs w:val="32"/>
        </w:rPr>
      </w:pPr>
      <w:r w:rsidRPr="00E040C9">
        <w:rPr>
          <w:rFonts w:hint="eastAsia"/>
          <w:b/>
          <w:bCs/>
          <w:color w:val="000000"/>
          <w:sz w:val="32"/>
          <w:szCs w:val="32"/>
        </w:rPr>
        <w:t>蚌埠医学院硕士研究生入学考试（初试）</w:t>
      </w:r>
    </w:p>
    <w:p w:rsidR="00E950C7" w:rsidRDefault="00E950C7">
      <w:pPr>
        <w:pStyle w:val="NormalWeb"/>
        <w:snapToGrid w:val="0"/>
        <w:spacing w:before="0" w:beforeAutospacing="0" w:after="0" w:afterAutospacing="0" w:line="360" w:lineRule="auto"/>
        <w:jc w:val="center"/>
        <w:rPr>
          <w:rFonts w:cs="Times New Roman"/>
          <w:color w:val="000000"/>
          <w:sz w:val="32"/>
          <w:szCs w:val="32"/>
        </w:rPr>
      </w:pPr>
      <w:r>
        <w:rPr>
          <w:rFonts w:hint="eastAsia"/>
          <w:b/>
          <w:bCs/>
          <w:color w:val="000000"/>
          <w:sz w:val="32"/>
          <w:szCs w:val="32"/>
        </w:rPr>
        <w:t>“医学信息学综合”考试大纲</w:t>
      </w:r>
    </w:p>
    <w:p w:rsidR="00E950C7" w:rsidRDefault="00E950C7" w:rsidP="00AB7DEA">
      <w:pPr>
        <w:pStyle w:val="NormalWeb"/>
        <w:snapToGrid w:val="0"/>
        <w:spacing w:beforeLines="50" w:beforeAutospacing="0" w:after="0" w:afterAutospacing="0" w:line="360" w:lineRule="auto"/>
        <w:jc w:val="both"/>
        <w:rPr>
          <w:rFonts w:cs="Times New Roman"/>
          <w:color w:val="000000"/>
          <w:sz w:val="21"/>
          <w:szCs w:val="21"/>
        </w:rPr>
      </w:pPr>
      <w:r>
        <w:rPr>
          <w:rFonts w:hint="eastAsia"/>
          <w:b/>
          <w:bCs/>
          <w:color w:val="000000"/>
        </w:rPr>
        <w:t>Ⅰ</w:t>
      </w:r>
      <w:r>
        <w:rPr>
          <w:b/>
          <w:bCs/>
          <w:color w:val="000000"/>
        </w:rPr>
        <w:t>.</w:t>
      </w:r>
      <w:r>
        <w:rPr>
          <w:rFonts w:hint="eastAsia"/>
          <w:b/>
          <w:bCs/>
          <w:color w:val="000000"/>
        </w:rPr>
        <w:t>考试性质</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 xml:space="preserve">　　“医学信息学综合”是为招收医学信息学专业的硕士研究生而设置的具有选拔性质的考试科目，其目的是科学、公正、有效地测试考生是否具备攻读硕士学位所必须的医学信息学基础知识和基本技能，评价标准是高等医学院校相关专业优秀本科毕业生能达到的及格或及格以上水平，以利于学校择优选拔，确保硕士研究生的招生质量。</w:t>
      </w:r>
    </w:p>
    <w:p w:rsidR="00E950C7" w:rsidRDefault="00E950C7" w:rsidP="00AB7DEA">
      <w:pPr>
        <w:pStyle w:val="NormalWeb"/>
        <w:snapToGrid w:val="0"/>
        <w:spacing w:beforeLines="50" w:beforeAutospacing="0" w:after="0" w:afterAutospacing="0" w:line="360" w:lineRule="auto"/>
        <w:jc w:val="both"/>
        <w:rPr>
          <w:rFonts w:cs="Times New Roman"/>
          <w:color w:val="000000"/>
          <w:sz w:val="21"/>
          <w:szCs w:val="21"/>
        </w:rPr>
      </w:pPr>
      <w:r>
        <w:rPr>
          <w:rFonts w:hint="eastAsia"/>
          <w:b/>
          <w:bCs/>
          <w:color w:val="000000"/>
        </w:rPr>
        <w:t>Ⅱ</w:t>
      </w:r>
      <w:r>
        <w:rPr>
          <w:b/>
          <w:bCs/>
          <w:color w:val="000000"/>
        </w:rPr>
        <w:t>.</w:t>
      </w:r>
      <w:r>
        <w:rPr>
          <w:rFonts w:hint="eastAsia"/>
          <w:b/>
          <w:bCs/>
          <w:color w:val="000000"/>
        </w:rPr>
        <w:t>考查目标</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 xml:space="preserve">　　“医学信息学综合”考试范围包括：医学信息学概论、信息管理学基础、一元函数微积分、医药数理统计方法和数据结构。要求考生系统掌握相关的基本理论、基本知识和基本技能，能够运用所学的基本理论、基本知识和基本技能，综合分析、解决有关的理论问题和实际问题。</w:t>
      </w:r>
    </w:p>
    <w:p w:rsidR="00E950C7" w:rsidRDefault="00E950C7" w:rsidP="00AB7DEA">
      <w:pPr>
        <w:pStyle w:val="NormalWeb"/>
        <w:snapToGrid w:val="0"/>
        <w:spacing w:beforeLines="50" w:beforeAutospacing="0" w:after="0" w:afterAutospacing="0" w:line="360" w:lineRule="auto"/>
        <w:jc w:val="both"/>
        <w:rPr>
          <w:rFonts w:cs="Times New Roman"/>
          <w:color w:val="000000"/>
          <w:sz w:val="21"/>
          <w:szCs w:val="21"/>
        </w:rPr>
      </w:pPr>
      <w:r>
        <w:rPr>
          <w:rFonts w:hint="eastAsia"/>
          <w:b/>
          <w:bCs/>
          <w:color w:val="000000"/>
        </w:rPr>
        <w:t>Ⅲ</w:t>
      </w:r>
      <w:r>
        <w:rPr>
          <w:b/>
          <w:bCs/>
          <w:color w:val="000000"/>
        </w:rPr>
        <w:t>.</w:t>
      </w:r>
      <w:r>
        <w:rPr>
          <w:rFonts w:hint="eastAsia"/>
          <w:b/>
          <w:bCs/>
          <w:color w:val="000000"/>
        </w:rPr>
        <w:t>考试形式和试卷结构</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一、试卷满分及考试时间</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 xml:space="preserve">　　本试卷满分为</w:t>
      </w:r>
      <w:r>
        <w:rPr>
          <w:color w:val="000000"/>
          <w:sz w:val="21"/>
          <w:szCs w:val="21"/>
        </w:rPr>
        <w:t>300</w:t>
      </w:r>
      <w:r>
        <w:rPr>
          <w:rFonts w:hint="eastAsia"/>
          <w:color w:val="000000"/>
          <w:sz w:val="21"/>
          <w:szCs w:val="21"/>
        </w:rPr>
        <w:t>分，考试时间为</w:t>
      </w:r>
      <w:r>
        <w:rPr>
          <w:color w:val="000000"/>
          <w:sz w:val="21"/>
          <w:szCs w:val="21"/>
        </w:rPr>
        <w:t>180</w:t>
      </w:r>
      <w:r>
        <w:rPr>
          <w:rFonts w:hint="eastAsia"/>
          <w:color w:val="000000"/>
          <w:sz w:val="21"/>
          <w:szCs w:val="21"/>
        </w:rPr>
        <w:t>分钟。</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二、答题方式</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 xml:space="preserve">　　闭卷、笔试。</w:t>
      </w:r>
      <w:bookmarkStart w:id="0" w:name="_GoBack"/>
      <w:bookmarkEnd w:id="0"/>
    </w:p>
    <w:p w:rsidR="00E950C7" w:rsidRPr="006B48AD" w:rsidRDefault="00E950C7">
      <w:pPr>
        <w:pStyle w:val="NormalWeb"/>
        <w:snapToGrid w:val="0"/>
        <w:spacing w:before="0" w:beforeAutospacing="0" w:after="0" w:afterAutospacing="0" w:line="360" w:lineRule="auto"/>
        <w:jc w:val="both"/>
        <w:rPr>
          <w:rFonts w:cs="Times New Roman"/>
          <w:color w:val="000000"/>
          <w:sz w:val="21"/>
          <w:szCs w:val="21"/>
        </w:rPr>
      </w:pPr>
      <w:r w:rsidRPr="006B48AD">
        <w:rPr>
          <w:rFonts w:hint="eastAsia"/>
          <w:color w:val="000000"/>
          <w:sz w:val="21"/>
          <w:szCs w:val="21"/>
        </w:rPr>
        <w:t>三、试卷内容结构</w:t>
      </w:r>
    </w:p>
    <w:p w:rsidR="00E950C7" w:rsidRPr="006B48AD" w:rsidRDefault="00E950C7">
      <w:pPr>
        <w:pStyle w:val="NormalWeb"/>
        <w:snapToGrid w:val="0"/>
        <w:spacing w:before="0" w:beforeAutospacing="0" w:after="0" w:afterAutospacing="0" w:line="360" w:lineRule="auto"/>
        <w:jc w:val="both"/>
        <w:rPr>
          <w:rFonts w:cs="Times New Roman"/>
          <w:color w:val="000000"/>
          <w:sz w:val="21"/>
          <w:szCs w:val="21"/>
        </w:rPr>
      </w:pPr>
      <w:r w:rsidRPr="006B48AD">
        <w:rPr>
          <w:rFonts w:hint="eastAsia"/>
          <w:color w:val="000000"/>
          <w:sz w:val="21"/>
          <w:szCs w:val="21"/>
        </w:rPr>
        <w:t xml:space="preserve">　　</w:t>
      </w:r>
      <w:r w:rsidRPr="006B48AD">
        <w:rPr>
          <w:color w:val="000000"/>
          <w:sz w:val="21"/>
          <w:szCs w:val="21"/>
        </w:rPr>
        <w:t>1.</w:t>
      </w:r>
      <w:r w:rsidRPr="006B48AD">
        <w:rPr>
          <w:rFonts w:hint="eastAsia"/>
          <w:color w:val="000000"/>
          <w:sz w:val="21"/>
          <w:szCs w:val="21"/>
        </w:rPr>
        <w:t>“医学信息学导论”：占</w:t>
      </w:r>
      <w:r w:rsidRPr="006B48AD">
        <w:rPr>
          <w:color w:val="000000"/>
          <w:sz w:val="21"/>
          <w:szCs w:val="21"/>
        </w:rPr>
        <w:t>40%</w:t>
      </w:r>
      <w:r w:rsidRPr="006B48AD">
        <w:rPr>
          <w:rFonts w:hint="eastAsia"/>
          <w:color w:val="000000"/>
          <w:sz w:val="21"/>
          <w:szCs w:val="21"/>
        </w:rPr>
        <w:t>（其中“医学信息学概论”占</w:t>
      </w:r>
      <w:r w:rsidRPr="006B48AD">
        <w:rPr>
          <w:color w:val="000000"/>
          <w:sz w:val="21"/>
          <w:szCs w:val="21"/>
        </w:rPr>
        <w:t>20%</w:t>
      </w:r>
      <w:r w:rsidRPr="006B48AD">
        <w:rPr>
          <w:rFonts w:hint="eastAsia"/>
          <w:color w:val="000000"/>
          <w:sz w:val="21"/>
          <w:szCs w:val="21"/>
        </w:rPr>
        <w:t>；“信息管理学基础”占</w:t>
      </w:r>
      <w:r w:rsidRPr="006B48AD">
        <w:rPr>
          <w:color w:val="000000"/>
          <w:sz w:val="21"/>
          <w:szCs w:val="21"/>
        </w:rPr>
        <w:t>20%</w:t>
      </w:r>
      <w:r w:rsidRPr="006B48AD">
        <w:rPr>
          <w:rFonts w:hint="eastAsia"/>
          <w:color w:val="000000"/>
          <w:sz w:val="21"/>
          <w:szCs w:val="21"/>
        </w:rPr>
        <w:t>）；</w:t>
      </w:r>
    </w:p>
    <w:p w:rsidR="00E950C7" w:rsidRPr="006B48AD" w:rsidRDefault="00E950C7">
      <w:pPr>
        <w:pStyle w:val="NormalWeb"/>
        <w:snapToGrid w:val="0"/>
        <w:spacing w:before="0" w:beforeAutospacing="0" w:after="0" w:afterAutospacing="0" w:line="360" w:lineRule="auto"/>
        <w:jc w:val="both"/>
        <w:rPr>
          <w:rFonts w:cs="Times New Roman"/>
          <w:color w:val="000000"/>
          <w:sz w:val="21"/>
          <w:szCs w:val="21"/>
        </w:rPr>
      </w:pPr>
      <w:r w:rsidRPr="006B48AD">
        <w:rPr>
          <w:rFonts w:hint="eastAsia"/>
          <w:color w:val="000000"/>
          <w:sz w:val="21"/>
          <w:szCs w:val="21"/>
        </w:rPr>
        <w:t xml:space="preserve">　　</w:t>
      </w:r>
      <w:r w:rsidRPr="006B48AD">
        <w:rPr>
          <w:color w:val="000000"/>
          <w:sz w:val="21"/>
          <w:szCs w:val="21"/>
        </w:rPr>
        <w:t>2.</w:t>
      </w:r>
      <w:r w:rsidRPr="006B48AD">
        <w:rPr>
          <w:rFonts w:hint="eastAsia"/>
          <w:color w:val="000000"/>
          <w:sz w:val="21"/>
          <w:szCs w:val="21"/>
        </w:rPr>
        <w:t>“医用数学”：占</w:t>
      </w:r>
      <w:r w:rsidRPr="006B48AD">
        <w:rPr>
          <w:color w:val="000000"/>
          <w:sz w:val="21"/>
          <w:szCs w:val="21"/>
        </w:rPr>
        <w:t>30%</w:t>
      </w:r>
      <w:r w:rsidRPr="006B48AD">
        <w:rPr>
          <w:rFonts w:hint="eastAsia"/>
          <w:color w:val="000000"/>
          <w:sz w:val="21"/>
          <w:szCs w:val="21"/>
        </w:rPr>
        <w:t>（其中“一元函数微积分”占</w:t>
      </w:r>
      <w:r w:rsidRPr="006B48AD">
        <w:rPr>
          <w:color w:val="000000"/>
          <w:sz w:val="21"/>
          <w:szCs w:val="21"/>
        </w:rPr>
        <w:t>10%</w:t>
      </w:r>
      <w:r w:rsidRPr="006B48AD">
        <w:rPr>
          <w:rFonts w:hint="eastAsia"/>
          <w:color w:val="000000"/>
          <w:sz w:val="21"/>
          <w:szCs w:val="21"/>
        </w:rPr>
        <w:t>；“医药数理统计方法”占</w:t>
      </w:r>
      <w:r w:rsidRPr="006B48AD">
        <w:rPr>
          <w:color w:val="000000"/>
          <w:sz w:val="21"/>
          <w:szCs w:val="21"/>
        </w:rPr>
        <w:t>20%</w:t>
      </w:r>
      <w:r w:rsidRPr="006B48AD">
        <w:rPr>
          <w:rFonts w:hint="eastAsia"/>
          <w:color w:val="000000"/>
          <w:sz w:val="21"/>
          <w:szCs w:val="21"/>
        </w:rPr>
        <w:t>）；</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sidRPr="006B48AD">
        <w:rPr>
          <w:rFonts w:hint="eastAsia"/>
          <w:color w:val="000000"/>
          <w:sz w:val="21"/>
          <w:szCs w:val="21"/>
        </w:rPr>
        <w:t xml:space="preserve">　　</w:t>
      </w:r>
      <w:r w:rsidRPr="006B48AD">
        <w:rPr>
          <w:color w:val="000000"/>
          <w:sz w:val="21"/>
          <w:szCs w:val="21"/>
        </w:rPr>
        <w:t>3.</w:t>
      </w:r>
      <w:r w:rsidRPr="006B48AD">
        <w:rPr>
          <w:rFonts w:hint="eastAsia"/>
          <w:color w:val="000000"/>
          <w:sz w:val="21"/>
          <w:szCs w:val="21"/>
        </w:rPr>
        <w:t>“数据结构”：占</w:t>
      </w:r>
      <w:r w:rsidRPr="006B48AD">
        <w:rPr>
          <w:color w:val="000000"/>
          <w:sz w:val="21"/>
          <w:szCs w:val="21"/>
        </w:rPr>
        <w:t>30%</w:t>
      </w:r>
      <w:r w:rsidRPr="006B48AD">
        <w:rPr>
          <w:rFonts w:hint="eastAsia"/>
          <w:color w:val="000000"/>
          <w:sz w:val="21"/>
          <w:szCs w:val="21"/>
        </w:rPr>
        <w:t>。</w:t>
      </w:r>
    </w:p>
    <w:p w:rsidR="00E950C7" w:rsidRDefault="00E950C7" w:rsidP="00AB7DEA">
      <w:pPr>
        <w:pStyle w:val="NormalWeb"/>
        <w:snapToGrid w:val="0"/>
        <w:spacing w:beforeLines="50" w:beforeAutospacing="0" w:after="0" w:afterAutospacing="0" w:line="360" w:lineRule="auto"/>
        <w:jc w:val="both"/>
        <w:rPr>
          <w:rFonts w:cs="Times New Roman"/>
          <w:color w:val="000000"/>
          <w:sz w:val="21"/>
          <w:szCs w:val="21"/>
        </w:rPr>
      </w:pPr>
      <w:r>
        <w:rPr>
          <w:rFonts w:hint="eastAsia"/>
          <w:b/>
          <w:bCs/>
          <w:color w:val="000000"/>
        </w:rPr>
        <w:t>Ⅳ</w:t>
      </w:r>
      <w:r>
        <w:rPr>
          <w:b/>
          <w:bCs/>
          <w:color w:val="000000"/>
        </w:rPr>
        <w:t>.</w:t>
      </w:r>
      <w:r>
        <w:rPr>
          <w:rFonts w:hint="eastAsia"/>
          <w:b/>
          <w:bCs/>
          <w:color w:val="000000"/>
        </w:rPr>
        <w:t>考查内容</w:t>
      </w:r>
      <w:r>
        <w:rPr>
          <w:rFonts w:hint="eastAsia"/>
          <w:color w:val="000000"/>
          <w:sz w:val="21"/>
          <w:szCs w:val="21"/>
        </w:rPr>
        <w:t xml:space="preserve">　</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一、医学信息学概论</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（一）基本概念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数据、信息、知识，及三者的转换过程；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医学信息学的研究内容；</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国内医疗卫生信息化发展趋势。</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（二）电子病历与医院信息平台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电子病历基本架构与数据标准；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电子病历的系统功能规范；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电子病历系统功能分级评价体系；</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基于电子病历的医院信息平台。</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（三）公共卫生信息学与公共卫生信息系统</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公共卫生信息的内容架构；</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国家公共卫生信息系统网络结构及功能；</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疾病预防控制业务信息流程；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卫生监督信息系统与卫生应急指挥系统。</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（四）医学信息标准与安全体系</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医学信息的标准化、分类与编码；</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医学信息表达标准：</w:t>
      </w:r>
      <w:r>
        <w:rPr>
          <w:color w:val="000000"/>
          <w:sz w:val="21"/>
          <w:szCs w:val="21"/>
        </w:rPr>
        <w:t>ICD</w:t>
      </w:r>
      <w:r>
        <w:rPr>
          <w:rFonts w:hint="eastAsia"/>
          <w:color w:val="000000"/>
          <w:sz w:val="21"/>
          <w:szCs w:val="21"/>
        </w:rPr>
        <w:t>、</w:t>
      </w:r>
      <w:r>
        <w:rPr>
          <w:color w:val="000000"/>
          <w:sz w:val="21"/>
          <w:szCs w:val="21"/>
        </w:rPr>
        <w:t>SNOMED</w:t>
      </w:r>
      <w:r>
        <w:rPr>
          <w:rFonts w:hint="eastAsia"/>
          <w:color w:val="000000"/>
          <w:sz w:val="21"/>
          <w:szCs w:val="21"/>
        </w:rPr>
        <w:t>、</w:t>
      </w:r>
      <w:r>
        <w:rPr>
          <w:color w:val="000000"/>
          <w:sz w:val="21"/>
          <w:szCs w:val="21"/>
        </w:rPr>
        <w:t>DRG</w:t>
      </w:r>
      <w:r>
        <w:rPr>
          <w:rFonts w:hint="eastAsia"/>
          <w:color w:val="000000"/>
          <w:sz w:val="21"/>
          <w:szCs w:val="21"/>
        </w:rPr>
        <w:t>、</w:t>
      </w:r>
      <w:r>
        <w:rPr>
          <w:color w:val="000000"/>
          <w:sz w:val="21"/>
          <w:szCs w:val="21"/>
        </w:rPr>
        <w:t>CPT</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医学信息交换标准：</w:t>
      </w:r>
      <w:r>
        <w:rPr>
          <w:color w:val="000000"/>
          <w:sz w:val="21"/>
          <w:szCs w:val="21"/>
        </w:rPr>
        <w:t>HL7</w:t>
      </w:r>
      <w:r>
        <w:rPr>
          <w:rFonts w:hint="eastAsia"/>
          <w:color w:val="000000"/>
          <w:sz w:val="21"/>
          <w:szCs w:val="21"/>
        </w:rPr>
        <w:t>、</w:t>
      </w:r>
      <w:r>
        <w:rPr>
          <w:color w:val="000000"/>
          <w:sz w:val="21"/>
          <w:szCs w:val="21"/>
        </w:rPr>
        <w:t>DICOM</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医学信息系统安全等级保护。</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（五）移动互联网与移动医疗</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移动互联网体系架构与主要技术；</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移动医疗的概念与应用；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移动医疗系统：移动临床信息系统、移动护士终端系统、移动门诊输液系统、移动医疗终端设备。</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（六）物联网与物联网医疗</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物联网的基本特征、关键技术、基本结构与性能指标；</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物联网医疗应用体系；</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物联网医疗应用案例：医院物联网医疗应用、移动物联网医疗应用。</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二、信息管理学基础</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（一）信息交流</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信息交流的含义与特征；</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信息交流行为、条件和要素；</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信息交流模式：申农</w:t>
      </w:r>
      <w:r>
        <w:rPr>
          <w:color w:val="000000"/>
          <w:sz w:val="21"/>
          <w:szCs w:val="21"/>
        </w:rPr>
        <w:t>—</w:t>
      </w:r>
      <w:r>
        <w:rPr>
          <w:rFonts w:hint="eastAsia"/>
          <w:color w:val="000000"/>
          <w:sz w:val="21"/>
          <w:szCs w:val="21"/>
        </w:rPr>
        <w:t>维弗通信模型、拉斯韦尔</w:t>
      </w:r>
      <w:r>
        <w:rPr>
          <w:color w:val="000000"/>
          <w:sz w:val="21"/>
          <w:szCs w:val="21"/>
        </w:rPr>
        <w:t>5W</w:t>
      </w:r>
      <w:r>
        <w:rPr>
          <w:rFonts w:hint="eastAsia"/>
          <w:color w:val="000000"/>
          <w:sz w:val="21"/>
          <w:szCs w:val="21"/>
        </w:rPr>
        <w:t>模式、施拉姆模型、维克利</w:t>
      </w:r>
      <w:r>
        <w:rPr>
          <w:color w:val="000000"/>
          <w:sz w:val="21"/>
          <w:szCs w:val="21"/>
        </w:rPr>
        <w:t>S-C-R</w:t>
      </w:r>
      <w:r>
        <w:rPr>
          <w:rFonts w:hint="eastAsia"/>
          <w:color w:val="000000"/>
          <w:sz w:val="21"/>
          <w:szCs w:val="21"/>
        </w:rPr>
        <w:t>模式；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网络信息交流的模式与特点。</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（二）信息分布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信息分布中的马太效应；</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信息内容的离散分布规律：布拉福德定律、齐夫定律；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信息生产者分布规律：洛特卡定律、普赖斯定律；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信息对时间的分布规律：指数增长律、逐渐过时律。</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（三）信息获取</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信息源的分类及其特征；</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信息的评价与选择；</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信息获取的效率指标，信息搜集的方法与途径；</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网络信息的获取方式。</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（四）组织组织</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信息组织的概念、内容与类型；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信息组织的思想方法：分类法、主题法、分类</w:t>
      </w:r>
      <w:r>
        <w:rPr>
          <w:color w:val="000000"/>
          <w:sz w:val="21"/>
          <w:szCs w:val="21"/>
        </w:rPr>
        <w:t>-</w:t>
      </w:r>
      <w:r>
        <w:rPr>
          <w:rFonts w:hint="eastAsia"/>
          <w:color w:val="000000"/>
          <w:sz w:val="21"/>
          <w:szCs w:val="21"/>
        </w:rPr>
        <w:t>主题一体化；</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信息的描述与揭示：信息标引、机器可读目录（</w:t>
      </w:r>
      <w:r>
        <w:rPr>
          <w:color w:val="000000"/>
          <w:sz w:val="21"/>
          <w:szCs w:val="21"/>
        </w:rPr>
        <w:t>MARC</w:t>
      </w:r>
      <w:r>
        <w:rPr>
          <w:rFonts w:hint="eastAsia"/>
          <w:color w:val="000000"/>
          <w:sz w:val="21"/>
          <w:szCs w:val="21"/>
        </w:rPr>
        <w:t>）、元数据、通用标记语言。</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（五）信息服务</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信息服务的内容与特性；</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信息服务方式；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信息用户的需求；</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用户信息行为及其特征和规律；</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信息用户的研究方法；</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6. </w:t>
      </w:r>
      <w:r>
        <w:rPr>
          <w:rFonts w:hint="eastAsia"/>
          <w:color w:val="000000"/>
          <w:sz w:val="21"/>
          <w:szCs w:val="21"/>
        </w:rPr>
        <w:t>网络环境下的用户信息行为。</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三、一元函数微积分</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color w:val="000000"/>
          <w:sz w:val="21"/>
          <w:szCs w:val="21"/>
        </w:rPr>
        <w:t>(</w:t>
      </w:r>
      <w:r>
        <w:rPr>
          <w:rFonts w:hint="eastAsia"/>
          <w:color w:val="000000"/>
          <w:sz w:val="21"/>
          <w:szCs w:val="21"/>
        </w:rPr>
        <w:t>一</w:t>
      </w:r>
      <w:r>
        <w:rPr>
          <w:color w:val="000000"/>
          <w:sz w:val="21"/>
          <w:szCs w:val="21"/>
        </w:rPr>
        <w:t xml:space="preserve">) </w:t>
      </w:r>
      <w:r>
        <w:rPr>
          <w:rFonts w:hint="eastAsia"/>
          <w:color w:val="000000"/>
          <w:sz w:val="21"/>
          <w:szCs w:val="21"/>
        </w:rPr>
        <w:t>函数、极限、连续</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函数的概念；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数列与函数的极限及其运算</w:t>
      </w:r>
      <w:r>
        <w:rPr>
          <w:color w:val="000000"/>
          <w:sz w:val="21"/>
          <w:szCs w:val="21"/>
        </w:rPr>
        <w:t>(</w:t>
      </w:r>
      <w:r>
        <w:rPr>
          <w:rFonts w:hint="eastAsia"/>
          <w:color w:val="000000"/>
          <w:sz w:val="21"/>
          <w:szCs w:val="21"/>
        </w:rPr>
        <w:t>极限的四则运算法则、两个重要极限</w:t>
      </w:r>
      <w:r>
        <w:rPr>
          <w:color w:val="000000"/>
          <w:sz w:val="21"/>
          <w:szCs w:val="21"/>
        </w:rPr>
        <w:t>)</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无穷小与无穷大（等价无穷小及其应用）；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函数的连续与间断。</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color w:val="000000"/>
          <w:sz w:val="21"/>
          <w:szCs w:val="21"/>
        </w:rPr>
        <w:t>(</w:t>
      </w:r>
      <w:r>
        <w:rPr>
          <w:rFonts w:hint="eastAsia"/>
          <w:color w:val="000000"/>
          <w:sz w:val="21"/>
          <w:szCs w:val="21"/>
        </w:rPr>
        <w:t>二</w:t>
      </w:r>
      <w:r>
        <w:rPr>
          <w:color w:val="000000"/>
          <w:sz w:val="21"/>
          <w:szCs w:val="21"/>
        </w:rPr>
        <w:t xml:space="preserve">) </w:t>
      </w:r>
      <w:r>
        <w:rPr>
          <w:rFonts w:hint="eastAsia"/>
          <w:color w:val="000000"/>
          <w:sz w:val="21"/>
          <w:szCs w:val="21"/>
        </w:rPr>
        <w:t>一元函数微分学</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导数及其运算（导数的定义及求导法则、复合函数与隐函数求导、高阶导数）；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微分及其运算（微分的定义、运算法则及其在近似计算中的应用）；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微分中值定理（罗尔</w:t>
      </w:r>
      <w:r>
        <w:rPr>
          <w:color w:val="000000"/>
          <w:sz w:val="21"/>
          <w:szCs w:val="21"/>
        </w:rPr>
        <w:t>(Rolle)</w:t>
      </w:r>
      <w:r>
        <w:rPr>
          <w:rFonts w:hint="eastAsia"/>
          <w:color w:val="000000"/>
          <w:sz w:val="21"/>
          <w:szCs w:val="21"/>
        </w:rPr>
        <w:t>定理和拉格朗日</w:t>
      </w:r>
      <w:r>
        <w:rPr>
          <w:color w:val="000000"/>
          <w:sz w:val="21"/>
          <w:szCs w:val="21"/>
        </w:rPr>
        <w:t>(Lagrange)</w:t>
      </w:r>
      <w:r>
        <w:rPr>
          <w:rFonts w:hint="eastAsia"/>
          <w:color w:val="000000"/>
          <w:sz w:val="21"/>
          <w:szCs w:val="21"/>
        </w:rPr>
        <w:t>中值定理）；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洛必达</w:t>
      </w:r>
      <w:r>
        <w:rPr>
          <w:color w:val="000000"/>
          <w:sz w:val="21"/>
          <w:szCs w:val="21"/>
        </w:rPr>
        <w:t>( Hospital)</w:t>
      </w:r>
      <w:r>
        <w:rPr>
          <w:rFonts w:hint="eastAsia"/>
          <w:color w:val="000000"/>
          <w:sz w:val="21"/>
          <w:szCs w:val="21"/>
        </w:rPr>
        <w:t>法则；</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导数与微分的应用（利用导数判定函数的性质及其曲线的性态、驻点与拐点、极值和最值的判定、最优化问题）。</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color w:val="000000"/>
          <w:sz w:val="21"/>
          <w:szCs w:val="21"/>
        </w:rPr>
        <w:t>(</w:t>
      </w:r>
      <w:r>
        <w:rPr>
          <w:rFonts w:hint="eastAsia"/>
          <w:color w:val="000000"/>
          <w:sz w:val="21"/>
          <w:szCs w:val="21"/>
        </w:rPr>
        <w:t>三</w:t>
      </w:r>
      <w:r>
        <w:rPr>
          <w:color w:val="000000"/>
          <w:sz w:val="21"/>
          <w:szCs w:val="21"/>
        </w:rPr>
        <w:t xml:space="preserve">) </w:t>
      </w:r>
      <w:r>
        <w:rPr>
          <w:rFonts w:hint="eastAsia"/>
          <w:color w:val="000000"/>
          <w:sz w:val="21"/>
          <w:szCs w:val="21"/>
        </w:rPr>
        <w:t>一元函数积分学</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不定积分及其运算（原函数的定义、换元积分法和分部积分法、有理函数的积分）；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定积分及其运算（定积分的定义与性质、微积分基本公式、换元法）；</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变上限积分及其导数；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广义积分（无穷限与无界函数的广义积分及其计算）；</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定积分的应用（平面图形面积、旋转体体积、函数的平均值问题）。</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四、医药数理统计方法</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（一）数据的描述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数据类型和整理；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数据分布特征的统计描述；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数据的直观描述。</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（二）随机事件与概率</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随机试验和随机事件；</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事件之间的关系及运算；</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概率的加法定理；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条件概率和乘法定理；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全概率公式，逆概率公式（贝叶斯公式）。</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（三）随机变量及其分布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离散型随机变量的分布，随机变量的分布函数，连续型随机变量的分布；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随机变量的数字特征：数学期望、方差与标准差；</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常用离散型随机变量分布：二项分布、泊松分布；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常用连续型随机变量分布：正态分布、指数分布。</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（四）抽样分布</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总体与样本、统计量；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样本均值的分布、</w:t>
      </w:r>
      <w:r>
        <w:rPr>
          <w:rFonts w:ascii="Times New Roman" w:hAnsi="Times New Roman" w:cs="Times New Roman"/>
          <w:color w:val="000000"/>
          <w:sz w:val="21"/>
          <w:szCs w:val="21"/>
        </w:rPr>
        <w:t>χ</w:t>
      </w:r>
      <w:r>
        <w:rPr>
          <w:rFonts w:ascii="Times New Roman" w:hAnsi="Times New Roman" w:cs="Times New Roman"/>
          <w:color w:val="000000"/>
          <w:sz w:val="21"/>
          <w:szCs w:val="21"/>
          <w:vertAlign w:val="superscript"/>
        </w:rPr>
        <w:t>2</w:t>
      </w:r>
      <w:r>
        <w:rPr>
          <w:rFonts w:hint="eastAsia"/>
          <w:color w:val="000000"/>
          <w:sz w:val="21"/>
          <w:szCs w:val="21"/>
        </w:rPr>
        <w:t>分布、</w:t>
      </w:r>
      <w:r>
        <w:rPr>
          <w:color w:val="000000"/>
          <w:sz w:val="21"/>
          <w:szCs w:val="21"/>
        </w:rPr>
        <w:t>t</w:t>
      </w:r>
      <w:r>
        <w:rPr>
          <w:rFonts w:hint="eastAsia"/>
          <w:color w:val="000000"/>
          <w:sz w:val="21"/>
          <w:szCs w:val="21"/>
        </w:rPr>
        <w:t>分布、</w:t>
      </w:r>
      <w:r>
        <w:rPr>
          <w:color w:val="000000"/>
          <w:sz w:val="21"/>
          <w:szCs w:val="21"/>
        </w:rPr>
        <w:t>F</w:t>
      </w:r>
      <w:r>
        <w:rPr>
          <w:rFonts w:hint="eastAsia"/>
          <w:color w:val="000000"/>
          <w:sz w:val="21"/>
          <w:szCs w:val="21"/>
        </w:rPr>
        <w:t>分布。</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（五）参数估计</w:t>
      </w:r>
    </w:p>
    <w:p w:rsidR="00E950C7" w:rsidRDefault="00E950C7">
      <w:pPr>
        <w:pStyle w:val="NormalWeb"/>
        <w:snapToGrid w:val="0"/>
        <w:spacing w:before="0" w:beforeAutospacing="0" w:after="0" w:afterAutospacing="0" w:line="360" w:lineRule="auto"/>
        <w:ind w:firstLine="420"/>
        <w:jc w:val="both"/>
        <w:rPr>
          <w:rFonts w:cs="Times New Roman"/>
          <w:color w:val="000000"/>
          <w:sz w:val="21"/>
          <w:szCs w:val="21"/>
        </w:rPr>
      </w:pPr>
      <w:r>
        <w:rPr>
          <w:color w:val="000000"/>
          <w:sz w:val="21"/>
          <w:szCs w:val="21"/>
        </w:rPr>
        <w:t xml:space="preserve">1. </w:t>
      </w:r>
      <w:r>
        <w:rPr>
          <w:rFonts w:hint="eastAsia"/>
          <w:color w:val="000000"/>
          <w:sz w:val="21"/>
          <w:szCs w:val="21"/>
        </w:rPr>
        <w:t>参数的点估计：矩估计法、最大似然估计法、估计量的判别标准；</w:t>
      </w:r>
    </w:p>
    <w:p w:rsidR="00E950C7" w:rsidRDefault="00E950C7">
      <w:pPr>
        <w:pStyle w:val="NormalWeb"/>
        <w:snapToGrid w:val="0"/>
        <w:spacing w:before="0" w:beforeAutospacing="0" w:after="0" w:afterAutospacing="0" w:line="360" w:lineRule="auto"/>
        <w:ind w:firstLine="420"/>
        <w:jc w:val="both"/>
        <w:rPr>
          <w:rFonts w:cs="Times New Roman"/>
          <w:color w:val="000000"/>
          <w:sz w:val="21"/>
          <w:szCs w:val="21"/>
        </w:rPr>
      </w:pPr>
      <w:r>
        <w:rPr>
          <w:color w:val="000000"/>
          <w:sz w:val="21"/>
          <w:szCs w:val="21"/>
        </w:rPr>
        <w:t xml:space="preserve">2. </w:t>
      </w:r>
      <w:r>
        <w:rPr>
          <w:rFonts w:hint="eastAsia"/>
          <w:color w:val="000000"/>
          <w:sz w:val="21"/>
          <w:szCs w:val="21"/>
        </w:rPr>
        <w:t>正态总体参数的区间估计：正态总体均值的区间估计、正态总体方差的区间估计。</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（六）假设检验</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参数假设检验：单个正态总体参数的假设检验、两个正态总体参数的假设检验；</w:t>
      </w:r>
    </w:p>
    <w:p w:rsidR="00E950C7" w:rsidRDefault="00E950C7" w:rsidP="00E040C9">
      <w:pPr>
        <w:pStyle w:val="NormalWeb"/>
        <w:snapToGrid w:val="0"/>
        <w:spacing w:before="0" w:beforeAutospacing="0" w:after="0" w:afterAutospacing="0" w:line="360" w:lineRule="auto"/>
        <w:ind w:firstLineChars="200" w:firstLine="31680"/>
        <w:jc w:val="both"/>
        <w:rPr>
          <w:rFonts w:ascii="Times New Roman" w:hAnsi="Times New Roman" w:cs="Times New Roman"/>
          <w:color w:val="000000"/>
          <w:sz w:val="21"/>
          <w:szCs w:val="21"/>
        </w:rPr>
      </w:pPr>
      <w:r>
        <w:rPr>
          <w:color w:val="000000"/>
          <w:sz w:val="21"/>
          <w:szCs w:val="21"/>
        </w:rPr>
        <w:t xml:space="preserve">2. </w:t>
      </w:r>
      <w:r>
        <w:rPr>
          <w:rFonts w:hint="eastAsia"/>
          <w:color w:val="000000"/>
          <w:sz w:val="21"/>
          <w:szCs w:val="21"/>
        </w:rPr>
        <w:t>非参数假设检验：</w:t>
      </w:r>
      <w:r>
        <w:rPr>
          <w:rFonts w:ascii="Times New Roman" w:hAnsi="Times New Roman" w:cs="Times New Roman"/>
          <w:color w:val="000000"/>
          <w:sz w:val="21"/>
          <w:szCs w:val="21"/>
        </w:rPr>
        <w:t>χ</w:t>
      </w:r>
      <w:r>
        <w:rPr>
          <w:rFonts w:ascii="Times New Roman" w:hAnsi="Times New Roman" w:cs="Times New Roman"/>
          <w:color w:val="000000"/>
          <w:sz w:val="21"/>
          <w:szCs w:val="21"/>
          <w:vertAlign w:val="superscript"/>
        </w:rPr>
        <w:t>2</w:t>
      </w:r>
      <w:r>
        <w:rPr>
          <w:rFonts w:ascii="Times New Roman" w:hAnsi="Times New Roman" w:hint="eastAsia"/>
          <w:color w:val="000000"/>
          <w:sz w:val="21"/>
          <w:szCs w:val="21"/>
        </w:rPr>
        <w:t>拟合优度检验、列联表的</w:t>
      </w:r>
      <w:r>
        <w:rPr>
          <w:rFonts w:ascii="Times New Roman" w:hAnsi="Times New Roman" w:cs="Times New Roman"/>
          <w:color w:val="000000"/>
          <w:sz w:val="21"/>
          <w:szCs w:val="21"/>
        </w:rPr>
        <w:t>χ</w:t>
      </w:r>
      <w:r>
        <w:rPr>
          <w:rFonts w:ascii="Times New Roman" w:hAnsi="Times New Roman" w:cs="Times New Roman"/>
          <w:color w:val="000000"/>
          <w:sz w:val="21"/>
          <w:szCs w:val="21"/>
          <w:vertAlign w:val="superscript"/>
        </w:rPr>
        <w:t>2</w:t>
      </w:r>
      <w:r>
        <w:rPr>
          <w:rFonts w:ascii="Times New Roman" w:hAnsi="Times New Roman" w:hint="eastAsia"/>
          <w:color w:val="000000"/>
          <w:sz w:val="21"/>
          <w:szCs w:val="21"/>
        </w:rPr>
        <w:t>检验。</w:t>
      </w:r>
    </w:p>
    <w:p w:rsidR="00E950C7" w:rsidRDefault="00E950C7">
      <w:pPr>
        <w:pStyle w:val="NormalWeb"/>
        <w:snapToGrid w:val="0"/>
        <w:spacing w:before="0" w:beforeAutospacing="0" w:after="0" w:afterAutospacing="0" w:line="360" w:lineRule="auto"/>
        <w:jc w:val="both"/>
        <w:rPr>
          <w:rFonts w:ascii="Times New Roman" w:hAnsi="Times New Roman" w:cs="Times New Roman"/>
          <w:color w:val="000000"/>
          <w:sz w:val="21"/>
          <w:szCs w:val="21"/>
        </w:rPr>
      </w:pPr>
      <w:r>
        <w:rPr>
          <w:rFonts w:ascii="Times New Roman" w:hAnsi="Times New Roman" w:hint="eastAsia"/>
          <w:color w:val="000000"/>
          <w:sz w:val="21"/>
          <w:szCs w:val="21"/>
        </w:rPr>
        <w:t>（七）方差分析</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单因素方差分析；</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两因素方差分析。</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（八）相关分析与回归分析</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散点图，相关关系与样本相关系数、</w:t>
      </w:r>
      <w:r>
        <w:rPr>
          <w:color w:val="000000"/>
          <w:sz w:val="21"/>
          <w:szCs w:val="21"/>
        </w:rPr>
        <w:t>Spearman</w:t>
      </w:r>
      <w:r>
        <w:rPr>
          <w:rFonts w:hint="eastAsia"/>
          <w:color w:val="000000"/>
          <w:sz w:val="21"/>
          <w:szCs w:val="21"/>
        </w:rPr>
        <w:t>相关分析；</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一元线性回归分析。</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五、数据结构</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（一）数据结构概述</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1. </w:t>
      </w:r>
      <w:r>
        <w:rPr>
          <w:rFonts w:hint="eastAsia"/>
          <w:color w:val="000000"/>
          <w:sz w:val="21"/>
          <w:szCs w:val="21"/>
        </w:rPr>
        <w:t>数据结构的定义；</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2. </w:t>
      </w:r>
      <w:r>
        <w:rPr>
          <w:rFonts w:hint="eastAsia"/>
          <w:color w:val="000000"/>
          <w:sz w:val="21"/>
          <w:szCs w:val="21"/>
        </w:rPr>
        <w:t>数据的存储结构；</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3. </w:t>
      </w:r>
      <w:r>
        <w:rPr>
          <w:rFonts w:hint="eastAsia"/>
          <w:color w:val="000000"/>
          <w:sz w:val="21"/>
          <w:szCs w:val="21"/>
        </w:rPr>
        <w:t>算法及其描述；</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4. </w:t>
      </w:r>
      <w:r>
        <w:rPr>
          <w:rFonts w:hint="eastAsia"/>
          <w:color w:val="000000"/>
          <w:sz w:val="21"/>
          <w:szCs w:val="21"/>
        </w:rPr>
        <w:t>算法的时间性能和空间性能分析。</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（二）线性表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线性表的定义及其逻辑结构；</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线性表的顺序存储结构、基本运算实现及其应用；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线性表的链式存储结构、基本运算实现及其应用（单链表、双链表）；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有序表的归并。</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（三）栈和队列</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1. </w:t>
      </w:r>
      <w:r>
        <w:rPr>
          <w:rFonts w:hint="eastAsia"/>
          <w:color w:val="000000"/>
          <w:sz w:val="21"/>
          <w:szCs w:val="21"/>
        </w:rPr>
        <w:t>栈的定义及逻辑结构；</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2. </w:t>
      </w:r>
      <w:r>
        <w:rPr>
          <w:rFonts w:hint="eastAsia"/>
          <w:color w:val="000000"/>
          <w:sz w:val="21"/>
          <w:szCs w:val="21"/>
        </w:rPr>
        <w:t>栈的存储结构、基本运算及其应用（顺序栈、链栈）；</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3. </w:t>
      </w:r>
      <w:r>
        <w:rPr>
          <w:rFonts w:hint="eastAsia"/>
          <w:color w:val="000000"/>
          <w:sz w:val="21"/>
          <w:szCs w:val="21"/>
        </w:rPr>
        <w:t>队列的定义及逻辑结构；</w:t>
      </w:r>
    </w:p>
    <w:p w:rsidR="00E950C7" w:rsidRDefault="00E950C7">
      <w:pPr>
        <w:pStyle w:val="NormalWeb"/>
        <w:snapToGrid w:val="0"/>
        <w:spacing w:before="0" w:beforeAutospacing="0" w:after="0" w:afterAutospacing="0" w:line="360" w:lineRule="auto"/>
        <w:ind w:left="425"/>
        <w:jc w:val="both"/>
        <w:rPr>
          <w:rFonts w:cs="Times New Roman"/>
          <w:color w:val="000000"/>
          <w:sz w:val="21"/>
          <w:szCs w:val="21"/>
        </w:rPr>
      </w:pPr>
      <w:r>
        <w:rPr>
          <w:color w:val="000000"/>
          <w:sz w:val="21"/>
          <w:szCs w:val="21"/>
        </w:rPr>
        <w:t xml:space="preserve">4. </w:t>
      </w:r>
      <w:r>
        <w:rPr>
          <w:rFonts w:hint="eastAsia"/>
          <w:color w:val="000000"/>
          <w:sz w:val="21"/>
          <w:szCs w:val="21"/>
        </w:rPr>
        <w:t>队列的存储结构、基本运算及其应用。</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（四）串</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串的基本概念；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串的存储结构、基本运算及其应用（顺序串和链串）；</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串的模式匹配算法：</w:t>
      </w:r>
      <w:r>
        <w:rPr>
          <w:color w:val="000000"/>
          <w:sz w:val="21"/>
          <w:szCs w:val="21"/>
        </w:rPr>
        <w:t>Brute-Force</w:t>
      </w:r>
      <w:r>
        <w:rPr>
          <w:rFonts w:hint="eastAsia"/>
          <w:color w:val="000000"/>
          <w:sz w:val="21"/>
          <w:szCs w:val="21"/>
        </w:rPr>
        <w:t>算法。</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（五）树和二叉树</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树的基本概念；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二叉树的概念和性质；</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二叉树的存储结构；</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二叉树的基本运算及其实现；</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二叉树的遍历；</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6. </w:t>
      </w:r>
      <w:r>
        <w:rPr>
          <w:rFonts w:hint="eastAsia"/>
          <w:color w:val="000000"/>
          <w:sz w:val="21"/>
          <w:szCs w:val="21"/>
        </w:rPr>
        <w:t>二叉树的构造；</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7. </w:t>
      </w:r>
      <w:r>
        <w:rPr>
          <w:rFonts w:hint="eastAsia"/>
          <w:color w:val="000000"/>
          <w:sz w:val="21"/>
          <w:szCs w:val="21"/>
        </w:rPr>
        <w:t>哈夫曼树。</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（六）查找</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查找的基本概念；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线性表的查找；</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哈希表的查表。</w:t>
      </w:r>
    </w:p>
    <w:p w:rsidR="00E950C7" w:rsidRDefault="00E950C7">
      <w:pPr>
        <w:pStyle w:val="NormalWeb"/>
        <w:snapToGrid w:val="0"/>
        <w:spacing w:before="0" w:beforeAutospacing="0" w:after="0" w:afterAutospacing="0" w:line="360" w:lineRule="auto"/>
        <w:jc w:val="both"/>
        <w:rPr>
          <w:rFonts w:cs="Times New Roman"/>
          <w:color w:val="000000"/>
          <w:sz w:val="21"/>
          <w:szCs w:val="21"/>
        </w:rPr>
      </w:pPr>
      <w:r>
        <w:rPr>
          <w:rFonts w:hint="eastAsia"/>
          <w:color w:val="000000"/>
          <w:sz w:val="21"/>
          <w:szCs w:val="21"/>
        </w:rPr>
        <w:t>（七）内排序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排序的基本概念；</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插入排序；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交换排序；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简单选择排序；</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各种排序方法的比较和选择。</w:t>
      </w:r>
    </w:p>
    <w:p w:rsidR="00E950C7" w:rsidRDefault="00E950C7">
      <w:pPr>
        <w:pStyle w:val="NormalWeb"/>
        <w:snapToGrid w:val="0"/>
        <w:spacing w:before="0" w:beforeAutospacing="0" w:after="0" w:afterAutospacing="0" w:line="360" w:lineRule="auto"/>
        <w:jc w:val="both"/>
        <w:rPr>
          <w:rFonts w:cs="Times New Roman"/>
          <w:b/>
          <w:bCs/>
          <w:color w:val="000000"/>
          <w:sz w:val="21"/>
          <w:szCs w:val="21"/>
        </w:rPr>
      </w:pPr>
      <w:r>
        <w:rPr>
          <w:rFonts w:hint="eastAsia"/>
          <w:b/>
          <w:bCs/>
          <w:color w:val="000000"/>
          <w:sz w:val="21"/>
          <w:szCs w:val="21"/>
        </w:rPr>
        <w:t>参考书目</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1. </w:t>
      </w:r>
      <w:r>
        <w:rPr>
          <w:rFonts w:hint="eastAsia"/>
          <w:color w:val="000000"/>
          <w:sz w:val="21"/>
          <w:szCs w:val="21"/>
        </w:rPr>
        <w:t>叶明全</w:t>
      </w:r>
      <w:r>
        <w:rPr>
          <w:color w:val="000000"/>
          <w:sz w:val="21"/>
          <w:szCs w:val="21"/>
        </w:rPr>
        <w:t xml:space="preserve">. </w:t>
      </w:r>
      <w:r>
        <w:rPr>
          <w:rFonts w:hint="eastAsia"/>
          <w:color w:val="000000"/>
          <w:sz w:val="21"/>
          <w:szCs w:val="21"/>
        </w:rPr>
        <w:t>医学信息学</w:t>
      </w:r>
      <w:r>
        <w:rPr>
          <w:color w:val="000000"/>
          <w:sz w:val="21"/>
          <w:szCs w:val="21"/>
        </w:rPr>
        <w:t xml:space="preserve">. </w:t>
      </w:r>
      <w:r>
        <w:rPr>
          <w:rFonts w:hint="eastAsia"/>
          <w:color w:val="000000"/>
          <w:sz w:val="21"/>
          <w:szCs w:val="21"/>
        </w:rPr>
        <w:t>北京：科学出版社，</w:t>
      </w:r>
      <w:r>
        <w:rPr>
          <w:color w:val="000000"/>
          <w:sz w:val="21"/>
          <w:szCs w:val="21"/>
        </w:rPr>
        <w:t>2018.1</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2. </w:t>
      </w:r>
      <w:r>
        <w:rPr>
          <w:rFonts w:hint="eastAsia"/>
          <w:color w:val="000000"/>
          <w:sz w:val="21"/>
          <w:szCs w:val="21"/>
        </w:rPr>
        <w:t>马费成</w:t>
      </w:r>
      <w:r>
        <w:rPr>
          <w:color w:val="000000"/>
          <w:sz w:val="21"/>
          <w:szCs w:val="21"/>
        </w:rPr>
        <w:t xml:space="preserve">. </w:t>
      </w:r>
      <w:r>
        <w:rPr>
          <w:rFonts w:hint="eastAsia"/>
          <w:color w:val="000000"/>
          <w:sz w:val="21"/>
          <w:szCs w:val="21"/>
        </w:rPr>
        <w:t>信息管理学基础</w:t>
      </w:r>
      <w:r>
        <w:rPr>
          <w:color w:val="000000"/>
          <w:sz w:val="21"/>
          <w:szCs w:val="21"/>
        </w:rPr>
        <w:t xml:space="preserve">. </w:t>
      </w:r>
      <w:r>
        <w:rPr>
          <w:rFonts w:hint="eastAsia"/>
          <w:color w:val="000000"/>
          <w:sz w:val="21"/>
          <w:szCs w:val="21"/>
        </w:rPr>
        <w:t>武汉：武汉大学出版社，</w:t>
      </w:r>
      <w:r>
        <w:rPr>
          <w:color w:val="000000"/>
          <w:sz w:val="21"/>
          <w:szCs w:val="21"/>
        </w:rPr>
        <w:t>2011.8</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3. </w:t>
      </w:r>
      <w:r>
        <w:rPr>
          <w:rFonts w:hint="eastAsia"/>
          <w:color w:val="000000"/>
          <w:sz w:val="21"/>
          <w:szCs w:val="21"/>
        </w:rPr>
        <w:t>同济大学数学系</w:t>
      </w:r>
      <w:r>
        <w:rPr>
          <w:color w:val="000000"/>
          <w:sz w:val="21"/>
          <w:szCs w:val="21"/>
        </w:rPr>
        <w:t xml:space="preserve">. </w:t>
      </w:r>
      <w:r>
        <w:rPr>
          <w:rFonts w:hint="eastAsia"/>
          <w:color w:val="000000"/>
          <w:sz w:val="21"/>
          <w:szCs w:val="21"/>
        </w:rPr>
        <w:t>高等数学（第七版）</w:t>
      </w:r>
      <w:r>
        <w:rPr>
          <w:color w:val="000000"/>
          <w:sz w:val="21"/>
          <w:szCs w:val="21"/>
        </w:rPr>
        <w:t xml:space="preserve">. </w:t>
      </w:r>
      <w:r>
        <w:rPr>
          <w:rFonts w:hint="eastAsia"/>
          <w:color w:val="000000"/>
          <w:sz w:val="21"/>
          <w:szCs w:val="21"/>
        </w:rPr>
        <w:t>北京：高等教育出版社，</w:t>
      </w:r>
      <w:r>
        <w:rPr>
          <w:color w:val="000000"/>
          <w:sz w:val="21"/>
          <w:szCs w:val="21"/>
        </w:rPr>
        <w:t>2014.7</w:t>
      </w:r>
      <w:r>
        <w:rPr>
          <w:rFonts w:hint="eastAsia"/>
          <w:color w:val="000000"/>
          <w:sz w:val="21"/>
          <w:szCs w:val="21"/>
        </w:rPr>
        <w:t>；</w:t>
      </w:r>
    </w:p>
    <w:p w:rsidR="00E950C7" w:rsidRDefault="00E950C7" w:rsidP="00E040C9">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4. </w:t>
      </w:r>
      <w:r>
        <w:rPr>
          <w:rFonts w:hint="eastAsia"/>
          <w:color w:val="000000"/>
          <w:sz w:val="21"/>
          <w:szCs w:val="21"/>
        </w:rPr>
        <w:t>高祖新</w:t>
      </w:r>
      <w:r>
        <w:rPr>
          <w:color w:val="000000"/>
          <w:sz w:val="21"/>
          <w:szCs w:val="21"/>
        </w:rPr>
        <w:t xml:space="preserve">. </w:t>
      </w:r>
      <w:r>
        <w:rPr>
          <w:rFonts w:hint="eastAsia"/>
          <w:color w:val="000000"/>
          <w:sz w:val="21"/>
          <w:szCs w:val="21"/>
        </w:rPr>
        <w:t>医药数理统计方法（第</w:t>
      </w:r>
      <w:r>
        <w:rPr>
          <w:color w:val="000000"/>
          <w:sz w:val="21"/>
          <w:szCs w:val="21"/>
        </w:rPr>
        <w:t>6</w:t>
      </w:r>
      <w:r>
        <w:rPr>
          <w:rFonts w:hint="eastAsia"/>
          <w:color w:val="000000"/>
          <w:sz w:val="21"/>
          <w:szCs w:val="21"/>
        </w:rPr>
        <w:t>版）</w:t>
      </w:r>
      <w:r>
        <w:rPr>
          <w:color w:val="000000"/>
          <w:sz w:val="21"/>
          <w:szCs w:val="21"/>
        </w:rPr>
        <w:t xml:space="preserve">. </w:t>
      </w:r>
      <w:r>
        <w:rPr>
          <w:rFonts w:hint="eastAsia"/>
          <w:color w:val="000000"/>
          <w:sz w:val="21"/>
          <w:szCs w:val="21"/>
        </w:rPr>
        <w:t>北京：人民卫生出版社，</w:t>
      </w:r>
      <w:r>
        <w:rPr>
          <w:color w:val="000000"/>
          <w:sz w:val="21"/>
          <w:szCs w:val="21"/>
        </w:rPr>
        <w:t>2016.2</w:t>
      </w:r>
      <w:r>
        <w:rPr>
          <w:rFonts w:hint="eastAsia"/>
          <w:color w:val="000000"/>
          <w:sz w:val="21"/>
          <w:szCs w:val="21"/>
        </w:rPr>
        <w:t>；</w:t>
      </w:r>
    </w:p>
    <w:p w:rsidR="00E950C7" w:rsidRDefault="00E950C7" w:rsidP="00C258CA">
      <w:pPr>
        <w:pStyle w:val="NormalWeb"/>
        <w:snapToGrid w:val="0"/>
        <w:spacing w:before="0" w:beforeAutospacing="0" w:after="0" w:afterAutospacing="0" w:line="360" w:lineRule="auto"/>
        <w:ind w:firstLineChars="200" w:firstLine="31680"/>
        <w:jc w:val="both"/>
        <w:rPr>
          <w:rFonts w:cs="Times New Roman"/>
          <w:color w:val="000000"/>
          <w:sz w:val="21"/>
          <w:szCs w:val="21"/>
        </w:rPr>
      </w:pPr>
      <w:r>
        <w:rPr>
          <w:color w:val="000000"/>
          <w:sz w:val="21"/>
          <w:szCs w:val="21"/>
        </w:rPr>
        <w:t xml:space="preserve">5. </w:t>
      </w:r>
      <w:r>
        <w:rPr>
          <w:rFonts w:hint="eastAsia"/>
          <w:color w:val="000000"/>
          <w:sz w:val="21"/>
          <w:szCs w:val="21"/>
        </w:rPr>
        <w:t>李春葆</w:t>
      </w:r>
      <w:r>
        <w:rPr>
          <w:color w:val="000000"/>
          <w:sz w:val="21"/>
          <w:szCs w:val="21"/>
        </w:rPr>
        <w:t>.</w:t>
      </w:r>
      <w:r>
        <w:rPr>
          <w:rFonts w:hint="eastAsia"/>
          <w:color w:val="000000"/>
          <w:sz w:val="21"/>
          <w:szCs w:val="21"/>
        </w:rPr>
        <w:t>数据结构教程</w:t>
      </w:r>
      <w:r>
        <w:rPr>
          <w:color w:val="000000"/>
          <w:sz w:val="21"/>
          <w:szCs w:val="21"/>
        </w:rPr>
        <w:t>.</w:t>
      </w:r>
      <w:r>
        <w:rPr>
          <w:rFonts w:hint="eastAsia"/>
          <w:color w:val="000000"/>
          <w:sz w:val="21"/>
          <w:szCs w:val="21"/>
        </w:rPr>
        <w:t>北京</w:t>
      </w:r>
      <w:r>
        <w:rPr>
          <w:color w:val="000000"/>
          <w:sz w:val="21"/>
          <w:szCs w:val="21"/>
        </w:rPr>
        <w:t>:</w:t>
      </w:r>
      <w:r>
        <w:rPr>
          <w:rFonts w:hint="eastAsia"/>
          <w:color w:val="000000"/>
          <w:sz w:val="21"/>
          <w:szCs w:val="21"/>
        </w:rPr>
        <w:t>清华大学出版社</w:t>
      </w:r>
      <w:r>
        <w:rPr>
          <w:color w:val="000000"/>
          <w:sz w:val="21"/>
          <w:szCs w:val="21"/>
        </w:rPr>
        <w:t>(</w:t>
      </w:r>
      <w:r>
        <w:rPr>
          <w:rFonts w:hint="eastAsia"/>
          <w:color w:val="000000"/>
          <w:sz w:val="21"/>
          <w:szCs w:val="21"/>
        </w:rPr>
        <w:t>第五版</w:t>
      </w:r>
      <w:r>
        <w:rPr>
          <w:color w:val="000000"/>
          <w:sz w:val="21"/>
          <w:szCs w:val="21"/>
        </w:rPr>
        <w:t>),2017.4</w:t>
      </w:r>
      <w:r>
        <w:rPr>
          <w:rFonts w:hint="eastAsia"/>
          <w:color w:val="000000"/>
          <w:sz w:val="21"/>
          <w:szCs w:val="21"/>
        </w:rPr>
        <w:t>。</w:t>
      </w:r>
    </w:p>
    <w:sectPr w:rsidR="00E950C7" w:rsidSect="001C3CCB">
      <w:pgSz w:w="12242" w:h="15842"/>
      <w:pgMar w:top="1440" w:right="1474" w:bottom="1440"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0C7" w:rsidRDefault="00E950C7" w:rsidP="00A12FF4">
      <w:pPr>
        <w:rPr>
          <w:rFonts w:cs="Times New Roman"/>
        </w:rPr>
      </w:pPr>
      <w:r>
        <w:rPr>
          <w:rFonts w:cs="Times New Roman"/>
        </w:rPr>
        <w:separator/>
      </w:r>
    </w:p>
  </w:endnote>
  <w:endnote w:type="continuationSeparator" w:id="0">
    <w:p w:rsidR="00E950C7" w:rsidRDefault="00E950C7" w:rsidP="00A12FF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0C7" w:rsidRDefault="00E950C7" w:rsidP="00A12FF4">
      <w:pPr>
        <w:rPr>
          <w:rFonts w:cs="Times New Roman"/>
        </w:rPr>
      </w:pPr>
      <w:r>
        <w:rPr>
          <w:rFonts w:cs="Times New Roman"/>
        </w:rPr>
        <w:separator/>
      </w:r>
    </w:p>
  </w:footnote>
  <w:footnote w:type="continuationSeparator" w:id="0">
    <w:p w:rsidR="00E950C7" w:rsidRDefault="00E950C7" w:rsidP="00A12FF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157"/>
    <w:rsid w:val="001C3CCB"/>
    <w:rsid w:val="0027154C"/>
    <w:rsid w:val="00276266"/>
    <w:rsid w:val="0030204E"/>
    <w:rsid w:val="003B3BAC"/>
    <w:rsid w:val="00434C88"/>
    <w:rsid w:val="004A157D"/>
    <w:rsid w:val="004A2D1D"/>
    <w:rsid w:val="004A3AE9"/>
    <w:rsid w:val="005333AA"/>
    <w:rsid w:val="00571CB4"/>
    <w:rsid w:val="005E5CA2"/>
    <w:rsid w:val="005F4DE3"/>
    <w:rsid w:val="00677D7C"/>
    <w:rsid w:val="006B48AD"/>
    <w:rsid w:val="00713B3B"/>
    <w:rsid w:val="00725665"/>
    <w:rsid w:val="00764B8C"/>
    <w:rsid w:val="007C53DA"/>
    <w:rsid w:val="007D5910"/>
    <w:rsid w:val="007E0473"/>
    <w:rsid w:val="007E6DE4"/>
    <w:rsid w:val="00877289"/>
    <w:rsid w:val="00882B81"/>
    <w:rsid w:val="008A2AC4"/>
    <w:rsid w:val="008C2917"/>
    <w:rsid w:val="008D6788"/>
    <w:rsid w:val="009371E1"/>
    <w:rsid w:val="00972D3A"/>
    <w:rsid w:val="009B5B4E"/>
    <w:rsid w:val="009D6BA5"/>
    <w:rsid w:val="00A12FF4"/>
    <w:rsid w:val="00A17157"/>
    <w:rsid w:val="00A52EAB"/>
    <w:rsid w:val="00A71B9F"/>
    <w:rsid w:val="00AA1D3A"/>
    <w:rsid w:val="00AB7DEA"/>
    <w:rsid w:val="00AE6843"/>
    <w:rsid w:val="00AF0D26"/>
    <w:rsid w:val="00B35F9C"/>
    <w:rsid w:val="00B462E6"/>
    <w:rsid w:val="00B92716"/>
    <w:rsid w:val="00BC5227"/>
    <w:rsid w:val="00C258CA"/>
    <w:rsid w:val="00C25C74"/>
    <w:rsid w:val="00D1324A"/>
    <w:rsid w:val="00D20203"/>
    <w:rsid w:val="00D3221E"/>
    <w:rsid w:val="00D849C5"/>
    <w:rsid w:val="00DC6F1E"/>
    <w:rsid w:val="00DE673A"/>
    <w:rsid w:val="00E040C9"/>
    <w:rsid w:val="00E32083"/>
    <w:rsid w:val="00E877C7"/>
    <w:rsid w:val="00E950C7"/>
    <w:rsid w:val="00F54A8E"/>
    <w:rsid w:val="00F6285E"/>
    <w:rsid w:val="00F94AF9"/>
    <w:rsid w:val="00FA0DDA"/>
    <w:rsid w:val="00FF4316"/>
    <w:rsid w:val="182D0C20"/>
    <w:rsid w:val="19551C3A"/>
    <w:rsid w:val="1D63247C"/>
    <w:rsid w:val="2BE6492F"/>
    <w:rsid w:val="4D110CD6"/>
    <w:rsid w:val="61D20C13"/>
    <w:rsid w:val="66475EB9"/>
    <w:rsid w:val="72B01C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locked="1" w:semiHidden="0" w:uiPriority="0"/>
    <w:lsdException w:name="Table Subtle 2" w:unhideWhenUsed="1"/>
    <w:lsdException w:name="Table Web 1" w:unhideWhenUsed="1"/>
    <w:lsdException w:name="Table Web 2" w:locked="1" w:semiHidden="0" w:uiPriority="0"/>
    <w:lsdException w:name="Table Web 3" w:locked="1" w:semiHidden="0" w:uiPriority="0"/>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C3CC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3CCB"/>
    <w:rPr>
      <w:sz w:val="18"/>
      <w:szCs w:val="18"/>
    </w:rPr>
  </w:style>
  <w:style w:type="character" w:customStyle="1" w:styleId="BalloonTextChar">
    <w:name w:val="Balloon Text Char"/>
    <w:basedOn w:val="DefaultParagraphFont"/>
    <w:link w:val="BalloonText"/>
    <w:uiPriority w:val="99"/>
    <w:semiHidden/>
    <w:locked/>
    <w:rsid w:val="001C3CCB"/>
    <w:rPr>
      <w:sz w:val="18"/>
      <w:szCs w:val="18"/>
    </w:rPr>
  </w:style>
  <w:style w:type="paragraph" w:styleId="Footer">
    <w:name w:val="footer"/>
    <w:basedOn w:val="Normal"/>
    <w:link w:val="FooterChar"/>
    <w:uiPriority w:val="99"/>
    <w:rsid w:val="001C3CC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C3CCB"/>
    <w:rPr>
      <w:sz w:val="18"/>
      <w:szCs w:val="18"/>
    </w:rPr>
  </w:style>
  <w:style w:type="paragraph" w:styleId="Header">
    <w:name w:val="header"/>
    <w:basedOn w:val="Normal"/>
    <w:link w:val="HeaderChar"/>
    <w:uiPriority w:val="99"/>
    <w:rsid w:val="001C3CC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C3CCB"/>
    <w:rPr>
      <w:sz w:val="18"/>
      <w:szCs w:val="18"/>
    </w:rPr>
  </w:style>
  <w:style w:type="paragraph" w:styleId="NormalWeb">
    <w:name w:val="Normal (Web)"/>
    <w:basedOn w:val="Normal"/>
    <w:uiPriority w:val="99"/>
    <w:rsid w:val="001C3CC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1C3CCB"/>
    <w:rPr>
      <w:b/>
      <w:bCs/>
    </w:rPr>
  </w:style>
  <w:style w:type="paragraph" w:styleId="ListParagraph">
    <w:name w:val="List Paragraph"/>
    <w:basedOn w:val="Normal"/>
    <w:uiPriority w:val="99"/>
    <w:qFormat/>
    <w:rsid w:val="001C3CC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494</Words>
  <Characters>2821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MC SYSTEM</cp:lastModifiedBy>
  <cp:revision>3</cp:revision>
  <cp:lastPrinted>2019-08-16T02:01:00Z</cp:lastPrinted>
  <dcterms:created xsi:type="dcterms:W3CDTF">2019-09-06T00:40:00Z</dcterms:created>
  <dcterms:modified xsi:type="dcterms:W3CDTF">2019-09-17T01:26:00Z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