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ascii="Tahoma" w:hAnsi="Tahoma" w:eastAsia="Tahoma" w:cs="Tahoma"/>
          <w:b/>
          <w:caps w:val="0"/>
          <w:color w:val="484848"/>
          <w:spacing w:val="0"/>
          <w:sz w:val="33"/>
          <w:szCs w:val="33"/>
        </w:rPr>
      </w:pPr>
      <w:r>
        <w:rPr>
          <w:rFonts w:hint="default" w:ascii="Tahoma" w:hAnsi="Tahoma" w:eastAsia="Tahoma" w:cs="Tahoma"/>
          <w:b/>
          <w:caps w:val="0"/>
          <w:color w:val="1A438E"/>
          <w:spacing w:val="0"/>
          <w:kern w:val="0"/>
          <w:sz w:val="27"/>
          <w:szCs w:val="27"/>
          <w:shd w:val="clear" w:fill="FFFFFF"/>
          <w:lang w:val="en-US" w:eastAsia="zh-CN" w:bidi="ar"/>
        </w:rPr>
        <w:t>公 告</w:t>
      </w:r>
    </w:p>
    <w:p>
      <w:pPr>
        <w:keepNext w:val="0"/>
        <w:keepLines w:val="0"/>
        <w:widowControl/>
        <w:suppressLineNumbers w:val="0"/>
        <w:pBdr>
          <w:top w:val="single" w:color="8AB3DB" w:sz="6" w:space="0"/>
          <w:left w:val="single" w:color="8AB3DB" w:sz="6" w:space="1"/>
          <w:bottom w:val="single" w:color="8AB3DB" w:sz="6" w:space="0"/>
          <w:right w:val="single" w:color="8AB3DB" w:sz="6" w:space="1"/>
        </w:pBdr>
        <w:spacing w:before="0" w:beforeAutospacing="0" w:after="0" w:afterAutospacing="0" w:line="216" w:lineRule="atLeast"/>
        <w:ind w:left="0" w:right="0"/>
        <w:jc w:val="center"/>
        <w:rPr>
          <w:rFonts w:ascii="Verdana" w:hAnsi="Verdana" w:cs="Verdana"/>
          <w:color w:val="000080"/>
          <w:sz w:val="18"/>
          <w:szCs w:val="18"/>
        </w:rPr>
      </w:pPr>
      <w:r>
        <w:rPr>
          <w:rFonts w:ascii="Tahoma" w:hAnsi="Tahoma" w:eastAsia="Tahoma" w:cs="Tahoma"/>
          <w:b/>
          <w:caps w:val="0"/>
          <w:color w:val="484848"/>
          <w:spacing w:val="0"/>
          <w:sz w:val="33"/>
          <w:szCs w:val="33"/>
        </w:rPr>
        <w:pict>
          <v:rect id="_x0000_i1025" o:spt="1" style="height:1.5pt;width:432pt;" fillcolor="#000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0"/>
        <w:jc w:val="left"/>
        <w:rPr>
          <w:rFonts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ascii="黑体" w:hAnsi="宋体" w:eastAsia="黑体" w:cs="黑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黑体" w:hAnsi="宋体" w:eastAsia="黑体" w:cs="黑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0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公共管理学院2020年全日制硕士研究生招生专业：035101法律（非法学）、035102法律（法学）、050100中国语言文学、120400公共管理的外语考试科目，只考英语一。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特此公告。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320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320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320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320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 xml:space="preserve">   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中国矿业大学公共管理学院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5445"/>
        <w:jc w:val="left"/>
        <w:rPr>
          <w:rFonts w:hint="default" w:ascii="Tahoma" w:hAnsi="Tahoma" w:eastAsia="Tahoma" w:cs="Tahoma"/>
          <w:b w:val="0"/>
          <w:i w:val="0"/>
          <w:color w:val="1A438E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A438E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  2019年7月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6B8D"/>
    <w:rsid w:val="7A2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2019-07-17T06:11:00Z</dcterms:created>
  <dc:creator>何丽丽</dc:creator>
  <cp:lastModifiedBy>何丽丽</cp:lastModifiedBy>
  <dcterms:modified xsi:type="dcterms:W3CDTF">2019-07-17T06:12:33Z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