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36"/>
          <w:szCs w:val="36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tbl>
      <w:tblPr>
        <w:tblStyle w:val="5"/>
        <w:tblW w:w="94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材料科学与</w:t>
            </w:r>
          </w:p>
          <w:p>
            <w:pPr>
              <w:jc w:val="center"/>
              <w:rPr>
                <w:rFonts w:ascii="宋体"/>
                <w:sz w:val="24"/>
                <w:szCs w:val="24"/>
                <w:highlight w:val="yellow"/>
              </w:rPr>
            </w:pPr>
            <w:r>
              <w:rPr>
                <w:rFonts w:hint="eastAsia" w:ascii="宋体"/>
                <w:sz w:val="24"/>
                <w:szCs w:val="24"/>
              </w:rPr>
              <w:t>工程学院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ascii="宋体"/>
                <w:sz w:val="24"/>
                <w:szCs w:val="24"/>
                <w:highlight w:val="yellow"/>
              </w:rPr>
            </w:pPr>
            <w:r>
              <w:rPr>
                <w:rFonts w:hint="eastAsia" w:ascii="宋体"/>
                <w:sz w:val="24"/>
                <w:szCs w:val="24"/>
              </w:rPr>
              <w:t>082900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ascii="宋体"/>
                <w:sz w:val="24"/>
                <w:szCs w:val="24"/>
                <w:highlight w:val="yellow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林业工程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/>
                <w:sz w:val="24"/>
                <w:szCs w:val="24"/>
                <w:highlight w:val="yellow"/>
              </w:rPr>
            </w:pPr>
            <w:r>
              <w:rPr>
                <w:rFonts w:hint="eastAsia" w:ascii="宋体"/>
                <w:sz w:val="24"/>
                <w:szCs w:val="24"/>
              </w:rPr>
              <w:t>f</w:t>
            </w:r>
            <w:r>
              <w:rPr>
                <w:rFonts w:ascii="宋体"/>
                <w:sz w:val="24"/>
                <w:szCs w:val="24"/>
              </w:rPr>
              <w:t>6</w:t>
            </w:r>
            <w:r>
              <w:rPr>
                <w:rFonts w:hint="eastAsia" w:ascii="宋体"/>
                <w:sz w:val="24"/>
                <w:szCs w:val="24"/>
              </w:rPr>
              <w:t>6家具生产工艺学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65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3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outlineLvl w:val="9"/>
              <w:rPr>
                <w:rFonts w:ascii="宋体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（一）加工工艺基础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outlineLvl w:val="9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</w:t>
            </w:r>
            <w:r>
              <w:rPr>
                <w:rFonts w:hint="eastAsia" w:ascii="宋体" w:hAnsi="宋体"/>
                <w:sz w:val="18"/>
                <w:szCs w:val="18"/>
              </w:rPr>
              <w:t>加工工艺过程、加工精度、表面粗糙度等基础知识；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outlineLvl w:val="9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2.熟悉并善于分析影响工件加工精度、粗糙度的主要因素及提出提高加工精度、光洁度的技术措施；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outlineLvl w:val="9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bookmarkStart w:id="0" w:name="_GoBack"/>
            <w:bookmarkEnd w:id="0"/>
            <w:r>
              <w:rPr>
                <w:rFonts w:hint="eastAsia" w:ascii="宋体"/>
                <w:sz w:val="18"/>
                <w:szCs w:val="18"/>
              </w:rPr>
              <w:t>实木与板式家具的主要加工设备与刀具、夹具的基本知识。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outlineLvl w:val="9"/>
              <w:rPr>
                <w:rFonts w:ascii="新宋体" w:hAnsi="新宋体" w:eastAsia="新宋体"/>
                <w:b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/>
                <w:sz w:val="18"/>
                <w:szCs w:val="18"/>
              </w:rPr>
              <w:t>（二）</w:t>
            </w:r>
            <w:r>
              <w:rPr>
                <w:rFonts w:hint="eastAsia"/>
                <w:b/>
                <w:sz w:val="18"/>
                <w:szCs w:val="18"/>
              </w:rPr>
              <w:t>实木家具生产工艺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outlineLvl w:val="9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</w:t>
            </w:r>
            <w:r>
              <w:rPr>
                <w:rFonts w:hint="eastAsia" w:ascii="宋体" w:hAnsi="宋体"/>
                <w:sz w:val="18"/>
                <w:szCs w:val="18"/>
              </w:rPr>
              <w:t>配料设备与配料工艺、毛料加工余量与出材率、方材胶合工艺；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outlineLvl w:val="9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18"/>
                <w:szCs w:val="18"/>
              </w:rPr>
              <w:t>毛料加工工艺、各种加工方法和设备、刀具及工艺技术要求；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outlineLvl w:val="9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3.净料加工工艺、各种加工方法和设备、刀具及工艺技术要求、从净料加工到零件的各种加工设备、制定各种加工工艺流程；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outlineLvl w:val="9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4.弯曲件的各种制造工艺及工艺技术要求、掌握根据不同材料与形状的弯曲件与生产批量，合理选择制造工艺与设备；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outlineLvl w:val="9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5.各种雕刻的手工工具、掌握机床设备的应用及工艺技术要求、掌握CNC自动雕刻技术的工艺过程。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outlineLvl w:val="9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/>
                <w:sz w:val="18"/>
                <w:szCs w:val="18"/>
              </w:rPr>
              <w:t>（三）</w:t>
            </w:r>
            <w:r>
              <w:rPr>
                <w:rFonts w:hint="eastAsia"/>
                <w:b/>
                <w:sz w:val="18"/>
                <w:szCs w:val="18"/>
              </w:rPr>
              <w:t>板式家具生产工艺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outlineLvl w:val="9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18"/>
                <w:szCs w:val="18"/>
              </w:rPr>
              <w:t>人造板及装饰板配料工艺；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outlineLvl w:val="9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2.板式零部件的制造方法与加工工艺、选择设备、制定板式零部件制造工艺流程。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outlineLvl w:val="9"/>
              <w:rPr>
                <w:rFonts w:hint="eastAsia" w:ascii="宋体"/>
                <w:b/>
                <w:sz w:val="18"/>
                <w:szCs w:val="18"/>
              </w:rPr>
            </w:pPr>
            <w:r>
              <w:rPr>
                <w:rFonts w:hint="eastAsia" w:ascii="宋体"/>
                <w:b/>
                <w:sz w:val="18"/>
                <w:szCs w:val="18"/>
              </w:rPr>
              <w:t>（四）装配工艺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textAlignment w:val="auto"/>
              <w:outlineLvl w:val="9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各类装配机械的主要构件与工作原理；各类部件与制品的装配工艺及工艺技术要求。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ascii="新宋体" w:hAnsi="新宋体" w:eastAsia="新宋体"/>
                <w:b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/>
                <w:sz w:val="18"/>
                <w:szCs w:val="18"/>
              </w:rPr>
              <w:t>（五）</w:t>
            </w:r>
            <w:r>
              <w:rPr>
                <w:rFonts w:hint="eastAsia"/>
                <w:b/>
                <w:sz w:val="18"/>
                <w:szCs w:val="18"/>
              </w:rPr>
              <w:t>表面装饰与涂饰工艺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1.实木家具涂饰的基本知识与涂饰工艺：白坯的处理、涂饰工艺、涂层的干燥、缺陷的修整；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2.板式家具的表面装饰：涂饰工艺、薄木贴面及其它材料贴面、真空覆膜（吸塑）；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3.其它类型的装饰：雕刻、镶嵌、彩绘等。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eastAsia" w:ascii="宋体"/>
                <w:b/>
                <w:sz w:val="18"/>
                <w:szCs w:val="18"/>
              </w:rPr>
            </w:pPr>
            <w:r>
              <w:rPr>
                <w:rFonts w:hint="eastAsia" w:ascii="宋体"/>
                <w:b/>
                <w:sz w:val="18"/>
                <w:szCs w:val="18"/>
              </w:rPr>
              <w:t>（六）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软体家具制造工艺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软体家具制造工具；各类软体家具制造工艺及工艺技术要求。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（七）工艺设计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工艺设计的基本知识；各类家具的工艺设计，各类类型家具制造的车间平面工艺规划设计。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left"/>
              <w:textAlignment w:val="auto"/>
              <w:outlineLvl w:val="9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3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600" w:lineRule="exact"/>
              <w:ind w:firstLine="0" w:firstLineChars="0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陶涛，陈星艳，高伟．家具制造工艺（第二版）[M]．北京：化学工业出版社，2011，3．</w:t>
            </w:r>
          </w:p>
        </w:tc>
      </w:tr>
    </w:tbl>
    <w:p>
      <w:pPr>
        <w:spacing w:line="600" w:lineRule="exact"/>
        <w:rPr>
          <w:sz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18225F"/>
    <w:rsid w:val="002E4EC7"/>
    <w:rsid w:val="005F43BB"/>
    <w:rsid w:val="00625DBE"/>
    <w:rsid w:val="007F2BDF"/>
    <w:rsid w:val="007F691D"/>
    <w:rsid w:val="008F2B1E"/>
    <w:rsid w:val="00930C87"/>
    <w:rsid w:val="00E442EA"/>
    <w:rsid w:val="094D3CA5"/>
    <w:rsid w:val="47AD5478"/>
    <w:rsid w:val="69F526C2"/>
    <w:rsid w:val="7C1B2BEC"/>
    <w:rsid w:val="7ECE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眉 Char1"/>
    <w:basedOn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161</Words>
  <Characters>922</Characters>
  <Lines>7</Lines>
  <Paragraphs>2</Paragraphs>
  <TotalTime>0</TotalTime>
  <ScaleCrop>false</ScaleCrop>
  <LinksUpToDate>false</LinksUpToDate>
  <CharactersWithSpaces>1081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2018-07-11T08:21:00Z</dcterms:created>
  <dc:creator>HE</dc:creator>
  <cp:lastModifiedBy>Administrator</cp:lastModifiedBy>
  <dcterms:modified xsi:type="dcterms:W3CDTF">2018-09-30T02:12:41Z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